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1CB7" w:rsidRDefault="00C06F7C" w:rsidP="00B411C2">
      <w:pPr>
        <w:pStyle w:val="Pagedecouverture"/>
        <w:rPr>
          <w:noProof/>
        </w:rPr>
      </w:pPr>
      <w:bookmarkStart w:id="0" w:name="LW_BM_COVERPAGE"/>
      <w:bookmarkStart w:id="1" w:name="_GoBack"/>
      <w:bookmarkEnd w:id="1"/>
      <w:r>
        <w:rPr>
          <w:noProof/>
          <w:lang w:bidi="ar-SA"/>
        </w:rPr>
        <w:drawing>
          <wp:inline distT="0" distB="0" distL="0" distR="0">
            <wp:extent cx="5724525" cy="8562975"/>
            <wp:effectExtent l="0" t="0" r="0" b="9525"/>
            <wp:docPr id="5" name="Εικόνα 1" descr="CCF7DCCA-183A-4FCD-8686-E487B190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F7DCCA-183A-4FCD-8686-E487B19039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8562975"/>
                    </a:xfrm>
                    <a:prstGeom prst="rect">
                      <a:avLst/>
                    </a:prstGeom>
                    <a:noFill/>
                    <a:ln>
                      <a:noFill/>
                    </a:ln>
                  </pic:spPr>
                </pic:pic>
              </a:graphicData>
            </a:graphic>
          </wp:inline>
        </w:drawing>
      </w:r>
    </w:p>
    <w:bookmarkEnd w:id="0"/>
    <w:p w:rsidR="00EE1CB7" w:rsidRDefault="00EE1CB7">
      <w:pPr>
        <w:rPr>
          <w:noProof/>
        </w:rPr>
        <w:sectPr w:rsidR="00EE1CB7" w:rsidSect="00B411C2">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2"/>
          <w:cols w:space="720"/>
          <w:docGrid w:linePitch="360"/>
        </w:sectPr>
      </w:pPr>
    </w:p>
    <w:p w:rsidR="00EE1CB7" w:rsidRDefault="00EE1CB7">
      <w:pPr>
        <w:rPr>
          <w:noProof/>
        </w:rPr>
      </w:pPr>
    </w:p>
    <w:p w:rsidR="00EE1CB7" w:rsidRDefault="00EE1CB7">
      <w:pPr>
        <w:widowControl w:val="0"/>
        <w:tabs>
          <w:tab w:val="right" w:leader="dot" w:pos="8640"/>
        </w:tabs>
        <w:spacing w:before="120"/>
        <w:rPr>
          <w:rFonts w:eastAsia="Times New Roman" w:cs="Times New Roman"/>
          <w:noProof/>
          <w:szCs w:val="20"/>
        </w:rPr>
      </w:pPr>
    </w:p>
    <w:p w:rsidR="00EE1CB7" w:rsidRDefault="00EE1CB7">
      <w:pPr>
        <w:widowControl w:val="0"/>
        <w:tabs>
          <w:tab w:val="right" w:leader="dot" w:pos="8640"/>
        </w:tabs>
        <w:spacing w:before="120"/>
        <w:rPr>
          <w:rFonts w:eastAsia="Times New Roman" w:cs="Times New Roman"/>
          <w:noProof/>
          <w:szCs w:val="20"/>
        </w:rPr>
      </w:pPr>
    </w:p>
    <w:p w:rsidR="00EE1CB7" w:rsidRDefault="00EE1CB7">
      <w:pPr>
        <w:widowControl w:val="0"/>
        <w:tabs>
          <w:tab w:val="right" w:leader="dot" w:pos="8640"/>
        </w:tabs>
        <w:spacing w:before="120"/>
        <w:rPr>
          <w:rFonts w:eastAsia="Times New Roman" w:cs="Times New Roman"/>
          <w:noProof/>
          <w:szCs w:val="20"/>
        </w:rPr>
      </w:pPr>
    </w:p>
    <w:p w:rsidR="00EE1CB7" w:rsidRDefault="00EE1CB7">
      <w:pPr>
        <w:widowControl w:val="0"/>
        <w:tabs>
          <w:tab w:val="right" w:leader="dot" w:pos="8640"/>
        </w:tabs>
        <w:spacing w:before="120"/>
        <w:rPr>
          <w:rFonts w:eastAsia="Times New Roman" w:cs="Times New Roman"/>
          <w:noProof/>
          <w:szCs w:val="20"/>
        </w:rPr>
      </w:pPr>
    </w:p>
    <w:p w:rsidR="00EE1CB7" w:rsidRDefault="00EE1CB7">
      <w:pPr>
        <w:widowControl w:val="0"/>
        <w:tabs>
          <w:tab w:val="right" w:leader="dot" w:pos="8640"/>
        </w:tabs>
        <w:spacing w:before="120"/>
        <w:rPr>
          <w:rFonts w:eastAsia="Times New Roman" w:cs="Times New Roman"/>
          <w:noProof/>
          <w:szCs w:val="20"/>
        </w:rPr>
      </w:pPr>
    </w:p>
    <w:p w:rsidR="00EE1CB7" w:rsidRDefault="00EE1CB7">
      <w:pPr>
        <w:widowControl w:val="0"/>
        <w:tabs>
          <w:tab w:val="right" w:leader="dot" w:pos="8640"/>
        </w:tabs>
        <w:spacing w:before="120"/>
        <w:rPr>
          <w:rFonts w:eastAsia="Times New Roman" w:cs="Times New Roman"/>
          <w:noProof/>
          <w:szCs w:val="20"/>
        </w:rPr>
      </w:pPr>
    </w:p>
    <w:p w:rsidR="00EE1CB7" w:rsidRDefault="00EE1CB7">
      <w:pPr>
        <w:widowControl w:val="0"/>
        <w:tabs>
          <w:tab w:val="right" w:leader="dot" w:pos="8640"/>
        </w:tabs>
        <w:spacing w:before="120"/>
        <w:rPr>
          <w:rFonts w:eastAsia="Times New Roman" w:cs="Times New Roman"/>
          <w:noProof/>
          <w:szCs w:val="20"/>
        </w:rPr>
      </w:pPr>
    </w:p>
    <w:p w:rsidR="00EE1CB7" w:rsidRDefault="00EE1CB7">
      <w:pPr>
        <w:widowControl w:val="0"/>
        <w:tabs>
          <w:tab w:val="right" w:leader="dot" w:pos="8640"/>
        </w:tabs>
        <w:spacing w:before="120"/>
        <w:rPr>
          <w:rFonts w:eastAsia="Times New Roman" w:cs="Times New Roman"/>
          <w:noProof/>
          <w:szCs w:val="20"/>
        </w:rPr>
      </w:pPr>
    </w:p>
    <w:p w:rsidR="00EE1CB7" w:rsidRDefault="00EE1CB7">
      <w:pPr>
        <w:widowControl w:val="0"/>
        <w:tabs>
          <w:tab w:val="right" w:leader="dot" w:pos="8640"/>
        </w:tabs>
        <w:spacing w:before="120"/>
        <w:rPr>
          <w:rFonts w:eastAsia="Times New Roman" w:cs="Times New Roman"/>
          <w:noProof/>
          <w:szCs w:val="20"/>
        </w:rPr>
      </w:pPr>
    </w:p>
    <w:p w:rsidR="00EE1CB7" w:rsidRDefault="00EE1CB7">
      <w:pPr>
        <w:widowControl w:val="0"/>
        <w:tabs>
          <w:tab w:val="right" w:leader="dot" w:pos="8640"/>
        </w:tabs>
        <w:spacing w:before="120"/>
        <w:rPr>
          <w:rFonts w:eastAsia="Times New Roman" w:cs="Times New Roman"/>
          <w:noProof/>
          <w:szCs w:val="20"/>
        </w:rPr>
      </w:pPr>
    </w:p>
    <w:p w:rsidR="00EE1CB7" w:rsidRDefault="00EE1CB7">
      <w:pPr>
        <w:widowControl w:val="0"/>
        <w:tabs>
          <w:tab w:val="right" w:leader="dot" w:pos="8640"/>
        </w:tabs>
        <w:spacing w:before="120"/>
        <w:rPr>
          <w:rFonts w:eastAsia="Times New Roman" w:cs="Times New Roman"/>
          <w:noProof/>
          <w:szCs w:val="20"/>
        </w:rPr>
      </w:pPr>
    </w:p>
    <w:p w:rsidR="00EE1CB7" w:rsidRDefault="00EE1CB7">
      <w:pPr>
        <w:widowControl w:val="0"/>
        <w:tabs>
          <w:tab w:val="right" w:leader="dot" w:pos="8640"/>
        </w:tabs>
        <w:spacing w:before="120"/>
        <w:rPr>
          <w:rFonts w:eastAsia="Times New Roman" w:cs="Times New Roman"/>
          <w:noProof/>
          <w:szCs w:val="20"/>
        </w:rPr>
      </w:pPr>
    </w:p>
    <w:p w:rsidR="00EE1CB7" w:rsidRDefault="00EE1CB7">
      <w:pPr>
        <w:widowControl w:val="0"/>
        <w:tabs>
          <w:tab w:val="right" w:leader="dot" w:pos="8640"/>
        </w:tabs>
        <w:spacing w:before="120"/>
        <w:rPr>
          <w:rFonts w:eastAsia="Times New Roman" w:cs="Times New Roman"/>
          <w:noProof/>
          <w:szCs w:val="20"/>
        </w:rPr>
      </w:pPr>
    </w:p>
    <w:p w:rsidR="00EE1CB7" w:rsidRDefault="00EE1CB7">
      <w:pPr>
        <w:widowControl w:val="0"/>
        <w:tabs>
          <w:tab w:val="right" w:leader="dot" w:pos="8640"/>
        </w:tabs>
        <w:spacing w:before="120"/>
        <w:rPr>
          <w:rFonts w:eastAsia="Times New Roman" w:cs="Times New Roman"/>
          <w:noProof/>
          <w:szCs w:val="20"/>
        </w:rPr>
      </w:pPr>
    </w:p>
    <w:p w:rsidR="00EE1CB7" w:rsidRDefault="00EE1CB7">
      <w:pPr>
        <w:widowControl w:val="0"/>
        <w:tabs>
          <w:tab w:val="right" w:leader="dot" w:pos="8640"/>
        </w:tabs>
        <w:spacing w:before="120"/>
        <w:rPr>
          <w:rFonts w:eastAsia="Times New Roman" w:cs="Times New Roman"/>
          <w:noProof/>
          <w:szCs w:val="20"/>
        </w:rPr>
      </w:pPr>
    </w:p>
    <w:p w:rsidR="00EE1CB7" w:rsidRDefault="00EE1CB7">
      <w:pPr>
        <w:widowControl w:val="0"/>
        <w:tabs>
          <w:tab w:val="right" w:leader="dot" w:pos="8640"/>
        </w:tabs>
        <w:spacing w:before="120"/>
        <w:rPr>
          <w:rFonts w:eastAsia="Times New Roman" w:cs="Times New Roman"/>
          <w:noProof/>
          <w:szCs w:val="20"/>
        </w:rPr>
      </w:pPr>
    </w:p>
    <w:p w:rsidR="00EE1CB7" w:rsidRDefault="00EE1CB7">
      <w:pPr>
        <w:widowControl w:val="0"/>
        <w:tabs>
          <w:tab w:val="right" w:leader="dot" w:pos="8640"/>
        </w:tabs>
        <w:spacing w:before="120"/>
        <w:rPr>
          <w:rFonts w:eastAsia="Times New Roman" w:cs="Times New Roman"/>
          <w:noProof/>
          <w:szCs w:val="20"/>
        </w:rPr>
      </w:pPr>
    </w:p>
    <w:p w:rsidR="00EE1CB7" w:rsidRDefault="00EE1CB7">
      <w:pPr>
        <w:widowControl w:val="0"/>
        <w:tabs>
          <w:tab w:val="right" w:leader="dot" w:pos="8640"/>
        </w:tabs>
        <w:spacing w:before="120"/>
        <w:rPr>
          <w:rFonts w:eastAsia="Times New Roman" w:cs="Times New Roman"/>
          <w:noProof/>
          <w:szCs w:val="20"/>
        </w:rPr>
      </w:pPr>
    </w:p>
    <w:p w:rsidR="00EE1CB7" w:rsidRDefault="00EE1CB7">
      <w:pPr>
        <w:widowControl w:val="0"/>
        <w:tabs>
          <w:tab w:val="right" w:leader="dot" w:pos="8640"/>
        </w:tabs>
        <w:spacing w:before="120"/>
        <w:rPr>
          <w:rFonts w:eastAsia="Times New Roman" w:cs="Times New Roman"/>
          <w:noProof/>
          <w:szCs w:val="20"/>
        </w:rPr>
      </w:pPr>
    </w:p>
    <w:p w:rsidR="00EE1CB7" w:rsidRDefault="00EE1CB7">
      <w:pPr>
        <w:widowControl w:val="0"/>
        <w:tabs>
          <w:tab w:val="right" w:leader="dot" w:pos="8640"/>
        </w:tabs>
        <w:spacing w:before="120"/>
        <w:rPr>
          <w:rFonts w:eastAsia="Times New Roman" w:cs="Times New Roman"/>
          <w:noProof/>
          <w:szCs w:val="20"/>
        </w:rPr>
      </w:pPr>
    </w:p>
    <w:p w:rsidR="00EE1CB7" w:rsidRDefault="00EE1CB7">
      <w:pPr>
        <w:widowControl w:val="0"/>
        <w:tabs>
          <w:tab w:val="right" w:leader="dot" w:pos="8640"/>
        </w:tabs>
        <w:spacing w:before="120"/>
        <w:rPr>
          <w:rFonts w:eastAsia="Times New Roman" w:cs="Times New Roman"/>
          <w:noProof/>
          <w:szCs w:val="20"/>
        </w:rPr>
      </w:pPr>
    </w:p>
    <w:p w:rsidR="00EE1CB7" w:rsidRDefault="00EE1CB7">
      <w:pPr>
        <w:widowControl w:val="0"/>
        <w:tabs>
          <w:tab w:val="right" w:leader="dot" w:pos="8640"/>
        </w:tabs>
        <w:spacing w:before="120"/>
        <w:rPr>
          <w:rFonts w:eastAsia="Times New Roman" w:cs="Times New Roman"/>
          <w:noProof/>
          <w:szCs w:val="20"/>
        </w:rPr>
      </w:pPr>
    </w:p>
    <w:p w:rsidR="00EE1CB7" w:rsidRDefault="00EE1CB7">
      <w:pPr>
        <w:widowControl w:val="0"/>
        <w:tabs>
          <w:tab w:val="right" w:leader="dot" w:pos="8640"/>
        </w:tabs>
        <w:spacing w:before="120"/>
        <w:rPr>
          <w:rFonts w:eastAsia="Times New Roman" w:cs="Times New Roman"/>
          <w:noProof/>
          <w:szCs w:val="20"/>
        </w:rPr>
      </w:pPr>
    </w:p>
    <w:p w:rsidR="00EE1CB7" w:rsidRDefault="00EE1CB7">
      <w:pPr>
        <w:widowControl w:val="0"/>
        <w:tabs>
          <w:tab w:val="right" w:leader="dot" w:pos="8640"/>
        </w:tabs>
        <w:spacing w:before="120"/>
        <w:rPr>
          <w:rFonts w:eastAsia="Times New Roman" w:cs="Times New Roman"/>
          <w:noProof/>
          <w:szCs w:val="20"/>
        </w:rPr>
      </w:pPr>
    </w:p>
    <w:p w:rsidR="00EE1CB7" w:rsidRDefault="00EE1CB7">
      <w:pPr>
        <w:widowControl w:val="0"/>
        <w:tabs>
          <w:tab w:val="right" w:leader="dot" w:pos="8640"/>
        </w:tabs>
        <w:spacing w:before="120"/>
        <w:rPr>
          <w:rFonts w:eastAsia="Times New Roman" w:cs="Times New Roman"/>
          <w:i/>
          <w:noProof/>
          <w:szCs w:val="20"/>
        </w:rPr>
      </w:pPr>
    </w:p>
    <w:p w:rsidR="00EE1CB7" w:rsidRDefault="0034634B">
      <w:pPr>
        <w:widowControl w:val="0"/>
        <w:tabs>
          <w:tab w:val="right" w:leader="dot" w:pos="8640"/>
        </w:tabs>
        <w:spacing w:before="120"/>
        <w:rPr>
          <w:rFonts w:eastAsia="Times New Roman" w:cs="Times New Roman"/>
          <w:i/>
          <w:noProof/>
          <w:szCs w:val="20"/>
        </w:rPr>
      </w:pPr>
      <w:r>
        <w:rPr>
          <w:i/>
          <w:noProof/>
        </w:rPr>
        <w:t xml:space="preserve">Η παρούσα έκθεση συντάχθηκε από το προσωπικό της Γενικής Διεύθυνσης Περιβάλλοντος της Ευρωπαϊκής Επιτροπής. Σχόλια μπορούν να υποβάλλονται στην ακόλουθη ηλεκτρονική διεύθυνση: </w:t>
      </w:r>
      <w:hyperlink r:id="rId18">
        <w:r>
          <w:rPr>
            <w:rStyle w:val="-"/>
            <w:i/>
            <w:noProof/>
          </w:rPr>
          <w:t>ENV-EIR@ec.europa.eu</w:t>
        </w:r>
      </w:hyperlink>
    </w:p>
    <w:p w:rsidR="00EE1CB7" w:rsidRDefault="00EE1CB7">
      <w:pPr>
        <w:widowControl w:val="0"/>
        <w:tabs>
          <w:tab w:val="right" w:leader="dot" w:pos="8640"/>
        </w:tabs>
        <w:spacing w:before="120"/>
        <w:ind w:left="482" w:right="720" w:hanging="482"/>
        <w:rPr>
          <w:rFonts w:eastAsia="Times New Roman" w:cs="Times New Roman"/>
          <w:i/>
          <w:noProof/>
          <w:szCs w:val="20"/>
        </w:rPr>
      </w:pPr>
    </w:p>
    <w:p w:rsidR="00EE1CB7" w:rsidRDefault="0034634B">
      <w:pPr>
        <w:widowControl w:val="0"/>
        <w:tabs>
          <w:tab w:val="right" w:leader="dot" w:pos="8640"/>
        </w:tabs>
        <w:spacing w:before="120"/>
        <w:ind w:left="482" w:right="720" w:hanging="482"/>
        <w:rPr>
          <w:rFonts w:eastAsia="Times New Roman" w:cs="Times New Roman"/>
          <w:i/>
          <w:noProof/>
          <w:szCs w:val="20"/>
        </w:rPr>
      </w:pPr>
      <w:r>
        <w:rPr>
          <w:i/>
          <w:noProof/>
        </w:rPr>
        <w:t xml:space="preserve">Περισσότερες πληροφορίες σχετικά με την Ευρωπαϊκή Ένωση διατίθενται στο διαδίκτυο, στη διεύθυνση </w:t>
      </w:r>
      <w:hyperlink r:id="rId19">
        <w:r>
          <w:rPr>
            <w:rStyle w:val="-"/>
            <w:i/>
            <w:noProof/>
          </w:rPr>
          <w:t>http://europa.eu</w:t>
        </w:r>
      </w:hyperlink>
      <w:r>
        <w:rPr>
          <w:i/>
          <w:noProof/>
        </w:rPr>
        <w:t>.</w:t>
      </w:r>
    </w:p>
    <w:p w:rsidR="00EE1CB7" w:rsidRDefault="00EE1CB7">
      <w:pPr>
        <w:widowControl w:val="0"/>
        <w:tabs>
          <w:tab w:val="right" w:leader="dot" w:pos="8640"/>
        </w:tabs>
        <w:spacing w:before="120"/>
        <w:ind w:left="482" w:right="720" w:hanging="482"/>
        <w:rPr>
          <w:rFonts w:eastAsia="Times New Roman" w:cs="Times New Roman"/>
          <w:i/>
          <w:noProof/>
          <w:szCs w:val="20"/>
        </w:rPr>
      </w:pPr>
    </w:p>
    <w:p w:rsidR="00EE1CB7" w:rsidRPr="00C06F7C" w:rsidRDefault="0034634B">
      <w:pPr>
        <w:widowControl w:val="0"/>
        <w:tabs>
          <w:tab w:val="right" w:leader="dot" w:pos="8640"/>
        </w:tabs>
        <w:spacing w:before="120"/>
        <w:ind w:right="141"/>
        <w:rPr>
          <w:rFonts w:eastAsia="Times New Roman" w:cs="Times New Roman"/>
          <w:i/>
          <w:noProof/>
          <w:szCs w:val="20"/>
          <w:lang w:val="en-US"/>
        </w:rPr>
      </w:pPr>
      <w:r>
        <w:rPr>
          <w:i/>
          <w:noProof/>
        </w:rPr>
        <w:t>Φωτογραφίες</w:t>
      </w:r>
      <w:r w:rsidRPr="00C06F7C">
        <w:rPr>
          <w:i/>
          <w:noProof/>
          <w:lang w:val="en-US"/>
        </w:rPr>
        <w:t xml:space="preserve">: </w:t>
      </w:r>
      <w:r>
        <w:rPr>
          <w:i/>
          <w:noProof/>
        </w:rPr>
        <w:t>σ</w:t>
      </w:r>
      <w:r w:rsidRPr="00C06F7C">
        <w:rPr>
          <w:i/>
          <w:noProof/>
          <w:lang w:val="en-US"/>
        </w:rPr>
        <w:t xml:space="preserve">. 13 — ©iStock/Poike· </w:t>
      </w:r>
      <w:r>
        <w:rPr>
          <w:i/>
          <w:noProof/>
        </w:rPr>
        <w:t>σ</w:t>
      </w:r>
      <w:r w:rsidRPr="00C06F7C">
        <w:rPr>
          <w:i/>
          <w:noProof/>
          <w:lang w:val="en-US"/>
        </w:rPr>
        <w:t xml:space="preserve">. 17 — ©iStock/SHansche· </w:t>
      </w:r>
      <w:r>
        <w:rPr>
          <w:i/>
          <w:noProof/>
        </w:rPr>
        <w:t>σ</w:t>
      </w:r>
      <w:r w:rsidRPr="00C06F7C">
        <w:rPr>
          <w:i/>
          <w:noProof/>
          <w:lang w:val="en-US"/>
        </w:rPr>
        <w:t xml:space="preserve">. 20 — ©iStock/saiko3p· </w:t>
      </w:r>
      <w:r>
        <w:rPr>
          <w:i/>
          <w:noProof/>
        </w:rPr>
        <w:t>σ</w:t>
      </w:r>
      <w:r w:rsidRPr="00C06F7C">
        <w:rPr>
          <w:i/>
          <w:noProof/>
          <w:lang w:val="en-US"/>
        </w:rPr>
        <w:t>. 2</w:t>
      </w:r>
      <w:r w:rsidR="005040D9" w:rsidRPr="00C06F7C">
        <w:rPr>
          <w:i/>
          <w:noProof/>
          <w:lang w:val="en-US"/>
        </w:rPr>
        <w:t>5</w:t>
      </w:r>
      <w:r w:rsidRPr="00C06F7C">
        <w:rPr>
          <w:i/>
          <w:noProof/>
          <w:lang w:val="en-US"/>
        </w:rPr>
        <w:t xml:space="preserve"> — ©iStock/marchello74· </w:t>
      </w:r>
      <w:r>
        <w:rPr>
          <w:i/>
          <w:noProof/>
        </w:rPr>
        <w:t>σ</w:t>
      </w:r>
      <w:r w:rsidRPr="00C06F7C">
        <w:rPr>
          <w:i/>
          <w:noProof/>
          <w:lang w:val="en-US"/>
        </w:rPr>
        <w:t>. 3</w:t>
      </w:r>
      <w:r w:rsidR="005040D9" w:rsidRPr="00C06F7C">
        <w:rPr>
          <w:i/>
          <w:noProof/>
          <w:lang w:val="en-US"/>
        </w:rPr>
        <w:t>7</w:t>
      </w:r>
      <w:r w:rsidRPr="00C06F7C">
        <w:rPr>
          <w:i/>
          <w:noProof/>
          <w:lang w:val="en-US"/>
        </w:rPr>
        <w:t xml:space="preserve"> — © iStock/alexandr6868</w:t>
      </w:r>
    </w:p>
    <w:p w:rsidR="00EE1CB7" w:rsidRDefault="0034634B">
      <w:pPr>
        <w:widowControl w:val="0"/>
        <w:tabs>
          <w:tab w:val="right" w:leader="dot" w:pos="8640"/>
        </w:tabs>
        <w:spacing w:before="120"/>
        <w:rPr>
          <w:rFonts w:eastAsia="Times New Roman" w:cs="Times New Roman"/>
          <w:i/>
          <w:noProof/>
          <w:szCs w:val="20"/>
        </w:rPr>
      </w:pPr>
      <w:r>
        <w:rPr>
          <w:i/>
          <w:noProof/>
        </w:rPr>
        <w:t>Για την αναπαραγωγή ή χρησιμοποίηση των εν λόγω φωτογραφιών απαιτείται απευθείας άδεια από τους κατόχους των δικαιωμάτων πνευματικής ιδιοκτησίας.</w:t>
      </w:r>
    </w:p>
    <w:p w:rsidR="00EE1CB7" w:rsidRDefault="00EE1CB7">
      <w:pPr>
        <w:widowControl w:val="0"/>
        <w:tabs>
          <w:tab w:val="right" w:leader="dot" w:pos="8640"/>
        </w:tabs>
        <w:spacing w:before="120"/>
        <w:rPr>
          <w:rFonts w:eastAsia="Times New Roman" w:cs="Times New Roman"/>
          <w:i/>
          <w:noProof/>
          <w:szCs w:val="20"/>
        </w:rPr>
      </w:pPr>
    </w:p>
    <w:p w:rsidR="00EE1CB7" w:rsidRDefault="0034634B">
      <w:pPr>
        <w:widowControl w:val="0"/>
        <w:tabs>
          <w:tab w:val="right" w:leader="dot" w:pos="8640"/>
        </w:tabs>
        <w:spacing w:before="120"/>
        <w:rPr>
          <w:rFonts w:eastAsia="Times New Roman" w:cs="Times New Roman"/>
          <w:i/>
          <w:noProof/>
          <w:szCs w:val="20"/>
        </w:rPr>
      </w:pPr>
      <w:r>
        <w:rPr>
          <w:i/>
          <w:noProof/>
        </w:rPr>
        <w:t>© Ευρωπαϊκή Ένωση, 2019</w:t>
      </w:r>
    </w:p>
    <w:p w:rsidR="00EE1CB7" w:rsidRDefault="0034634B">
      <w:pPr>
        <w:widowControl w:val="0"/>
        <w:tabs>
          <w:tab w:val="right" w:leader="dot" w:pos="8640"/>
        </w:tabs>
        <w:spacing w:before="120"/>
        <w:rPr>
          <w:rFonts w:ascii="Times New Roman" w:eastAsia="Times New Roman" w:hAnsi="Times New Roman" w:cs="Times New Roman"/>
          <w:i/>
          <w:iCs/>
          <w:noProof/>
        </w:rPr>
      </w:pPr>
      <w:r>
        <w:rPr>
          <w:rFonts w:ascii="Times New Roman" w:hAnsi="Times New Roman"/>
          <w:i/>
          <w:noProof/>
        </w:rPr>
        <w:t>Επιτρέπεται η αναπαραγωγή με αναφορά της πηγής.</w:t>
      </w:r>
    </w:p>
    <w:p w:rsidR="00EE1CB7" w:rsidRDefault="00EE1CB7">
      <w:pPr>
        <w:widowControl w:val="0"/>
        <w:tabs>
          <w:tab w:val="right" w:leader="dot" w:pos="8640"/>
        </w:tabs>
        <w:spacing w:before="120"/>
        <w:rPr>
          <w:rFonts w:eastAsia="Times New Roman" w:cs="Times New Roman"/>
          <w:i/>
          <w:noProof/>
          <w:szCs w:val="20"/>
        </w:rPr>
        <w:sectPr w:rsidR="00EE1CB7">
          <w:headerReference w:type="even" r:id="rId20"/>
          <w:headerReference w:type="default" r:id="rId21"/>
          <w:footerReference w:type="even" r:id="rId22"/>
          <w:footerReference w:type="default" r:id="rId23"/>
          <w:headerReference w:type="first" r:id="rId24"/>
          <w:footerReference w:type="first" r:id="rId25"/>
          <w:pgSz w:w="11906" w:h="16838"/>
          <w:pgMar w:top="1440" w:right="1280" w:bottom="1440" w:left="1280" w:header="708" w:footer="708" w:gutter="0"/>
          <w:pgNumType w:start="1"/>
          <w:cols w:space="720"/>
          <w:titlePg/>
          <w:docGrid w:linePitch="360"/>
        </w:sectPr>
      </w:pPr>
    </w:p>
    <w:p w:rsidR="00EE1CB7" w:rsidRDefault="0034634B">
      <w:pPr>
        <w:widowControl w:val="0"/>
        <w:spacing w:before="240"/>
        <w:ind w:left="113" w:hanging="113"/>
        <w:jc w:val="center"/>
        <w:rPr>
          <w:rFonts w:eastAsia="Times New Roman" w:cstheme="minorHAnsi"/>
          <w:b/>
          <w:bCs/>
          <w:noProof/>
        </w:rPr>
      </w:pPr>
      <w:r>
        <w:rPr>
          <w:rFonts w:cstheme="minorHAnsi"/>
          <w:b/>
          <w:noProof/>
        </w:rPr>
        <w:lastRenderedPageBreak/>
        <w:t>Πίνακας περιεχομένω</w:t>
      </w:r>
      <w:bookmarkStart w:id="2" w:name="_Toc432510709"/>
      <w:bookmarkStart w:id="3" w:name="_Toc432521119"/>
      <w:bookmarkStart w:id="4" w:name="_Toc433296149"/>
      <w:bookmarkEnd w:id="2"/>
      <w:bookmarkEnd w:id="3"/>
      <w:r>
        <w:rPr>
          <w:rFonts w:cstheme="minorHAnsi"/>
          <w:b/>
          <w:noProof/>
        </w:rPr>
        <w:t>ν</w:t>
      </w:r>
    </w:p>
    <w:p w:rsidR="00EE1CB7" w:rsidRDefault="0034634B">
      <w:pPr>
        <w:pStyle w:val="10"/>
        <w:rPr>
          <w:rFonts w:asciiTheme="minorHAnsi" w:eastAsiaTheme="minorEastAsia" w:hAnsiTheme="minorHAnsi" w:cstheme="minorBidi"/>
          <w:caps w:val="0"/>
          <w:noProof/>
          <w:sz w:val="22"/>
          <w:szCs w:val="22"/>
          <w:lang w:val="en-GB" w:eastAsia="en-GB" w:bidi="ar-SA"/>
        </w:rPr>
      </w:pPr>
      <w:r>
        <w:rPr>
          <w:rFonts w:asciiTheme="minorHAnsi" w:eastAsiaTheme="minorHAnsi" w:hAnsiTheme="minorHAnsi" w:cstheme="minorHAnsi"/>
          <w:caps w:val="0"/>
          <w:noProof/>
          <w:szCs w:val="22"/>
        </w:rPr>
        <w:fldChar w:fldCharType="begin"/>
      </w:r>
      <w:r>
        <w:rPr>
          <w:rFonts w:eastAsiaTheme="minorEastAsia" w:cstheme="minorHAnsi"/>
          <w:b/>
          <w:noProof/>
        </w:rPr>
        <w:instrText xml:space="preserve"> TOC \o "1-2" \h \z \u </w:instrText>
      </w:r>
      <w:r>
        <w:rPr>
          <w:rFonts w:asciiTheme="minorHAnsi" w:eastAsiaTheme="minorEastAsia" w:hAnsiTheme="minorHAnsi" w:cstheme="minorHAnsi"/>
          <w:b/>
          <w:caps w:val="0"/>
          <w:noProof/>
          <w:szCs w:val="22"/>
        </w:rPr>
        <w:fldChar w:fldCharType="separate"/>
      </w:r>
      <w:hyperlink w:anchor="_Toc13470653" w:history="1">
        <w:r>
          <w:rPr>
            <w:rStyle w:val="-"/>
            <w:rFonts w:eastAsiaTheme="majorBidi" w:cstheme="majorBidi"/>
            <w:b/>
            <w:noProof/>
          </w:rPr>
          <w:t>Σύνοψη</w:t>
        </w:r>
        <w:r>
          <w:rPr>
            <w:noProof/>
            <w:webHidden/>
          </w:rPr>
          <w:tab/>
        </w:r>
        <w:r>
          <w:rPr>
            <w:noProof/>
            <w:webHidden/>
          </w:rPr>
          <w:fldChar w:fldCharType="begin"/>
        </w:r>
        <w:r>
          <w:rPr>
            <w:noProof/>
            <w:webHidden/>
          </w:rPr>
          <w:instrText xml:space="preserve"> PAGEREF _Toc13470653 \h </w:instrText>
        </w:r>
        <w:r>
          <w:rPr>
            <w:noProof/>
            <w:webHidden/>
          </w:rPr>
        </w:r>
        <w:r>
          <w:rPr>
            <w:noProof/>
            <w:webHidden/>
          </w:rPr>
          <w:fldChar w:fldCharType="separate"/>
        </w:r>
        <w:r w:rsidR="005040D9">
          <w:rPr>
            <w:noProof/>
            <w:webHidden/>
          </w:rPr>
          <w:t>3</w:t>
        </w:r>
        <w:r>
          <w:rPr>
            <w:noProof/>
            <w:webHidden/>
          </w:rPr>
          <w:fldChar w:fldCharType="end"/>
        </w:r>
      </w:hyperlink>
    </w:p>
    <w:p w:rsidR="00EE1CB7" w:rsidRDefault="00A503E6">
      <w:pPr>
        <w:pStyle w:val="10"/>
        <w:rPr>
          <w:rFonts w:asciiTheme="minorHAnsi" w:eastAsiaTheme="minorEastAsia" w:hAnsiTheme="minorHAnsi" w:cstheme="minorBidi"/>
          <w:caps w:val="0"/>
          <w:noProof/>
          <w:sz w:val="22"/>
          <w:szCs w:val="22"/>
          <w:lang w:val="en-GB" w:eastAsia="en-GB" w:bidi="ar-SA"/>
        </w:rPr>
      </w:pPr>
      <w:hyperlink w:anchor="_Toc13470654" w:history="1">
        <w:r w:rsidR="0034634B">
          <w:rPr>
            <w:rStyle w:val="-"/>
            <w:rFonts w:eastAsiaTheme="majorBidi" w:cstheme="majorBidi"/>
            <w:b/>
            <w:noProof/>
          </w:rPr>
          <w:t>Μέρος I: Θεματικοί τομείς</w:t>
        </w:r>
        <w:r w:rsidR="0034634B">
          <w:rPr>
            <w:noProof/>
            <w:webHidden/>
          </w:rPr>
          <w:tab/>
        </w:r>
        <w:r w:rsidR="0034634B">
          <w:rPr>
            <w:noProof/>
            <w:webHidden/>
          </w:rPr>
          <w:fldChar w:fldCharType="begin"/>
        </w:r>
        <w:r w:rsidR="0034634B">
          <w:rPr>
            <w:noProof/>
            <w:webHidden/>
          </w:rPr>
          <w:instrText xml:space="preserve"> PAGEREF _Toc13470654 \h </w:instrText>
        </w:r>
        <w:r w:rsidR="0034634B">
          <w:rPr>
            <w:noProof/>
            <w:webHidden/>
          </w:rPr>
        </w:r>
        <w:r w:rsidR="0034634B">
          <w:rPr>
            <w:noProof/>
            <w:webHidden/>
          </w:rPr>
          <w:fldChar w:fldCharType="separate"/>
        </w:r>
        <w:r w:rsidR="005040D9">
          <w:rPr>
            <w:noProof/>
            <w:webHidden/>
          </w:rPr>
          <w:t>4</w:t>
        </w:r>
        <w:r w:rsidR="0034634B">
          <w:rPr>
            <w:noProof/>
            <w:webHidden/>
          </w:rPr>
          <w:fldChar w:fldCharType="end"/>
        </w:r>
      </w:hyperlink>
    </w:p>
    <w:p w:rsidR="00EE1CB7" w:rsidRDefault="00A503E6">
      <w:pPr>
        <w:pStyle w:val="10"/>
        <w:rPr>
          <w:rFonts w:asciiTheme="minorHAnsi" w:eastAsiaTheme="minorEastAsia" w:hAnsiTheme="minorHAnsi" w:cstheme="minorBidi"/>
          <w:caps w:val="0"/>
          <w:noProof/>
          <w:sz w:val="22"/>
          <w:szCs w:val="22"/>
          <w:lang w:val="en-GB" w:eastAsia="en-GB" w:bidi="ar-SA"/>
        </w:rPr>
      </w:pPr>
      <w:hyperlink w:anchor="_Toc13470655" w:history="1">
        <w:r w:rsidR="0034634B">
          <w:rPr>
            <w:rStyle w:val="-"/>
            <w:rFonts w:eastAsiaTheme="majorBidi" w:cstheme="majorBidi"/>
            <w:b/>
            <w:bCs/>
            <w:noProof/>
          </w:rPr>
          <w:t>1.</w:t>
        </w:r>
        <w:r w:rsidR="0034634B">
          <w:rPr>
            <w:rFonts w:asciiTheme="minorHAnsi" w:eastAsiaTheme="minorEastAsia" w:hAnsiTheme="minorHAnsi" w:cstheme="minorBidi"/>
            <w:caps w:val="0"/>
            <w:noProof/>
            <w:sz w:val="22"/>
            <w:szCs w:val="22"/>
            <w:lang w:val="en-GB" w:eastAsia="en-GB" w:bidi="ar-SA"/>
          </w:rPr>
          <w:tab/>
        </w:r>
        <w:r w:rsidR="0034634B">
          <w:rPr>
            <w:rStyle w:val="-"/>
            <w:rFonts w:eastAsiaTheme="majorBidi" w:cstheme="majorBidi"/>
            <w:b/>
            <w:noProof/>
          </w:rPr>
          <w:t>Μετατροπή της ΕΕ σε μια κυκλική, πράσινη και ανταγωνιστική οικονομία χαμηλών ανθρακούχων εκπομπών και αποδοτικής χρήσης των πόρων</w:t>
        </w:r>
        <w:r w:rsidR="0034634B">
          <w:rPr>
            <w:noProof/>
            <w:webHidden/>
          </w:rPr>
          <w:tab/>
        </w:r>
        <w:r w:rsidR="0034634B">
          <w:rPr>
            <w:noProof/>
            <w:webHidden/>
          </w:rPr>
          <w:fldChar w:fldCharType="begin"/>
        </w:r>
        <w:r w:rsidR="0034634B">
          <w:rPr>
            <w:noProof/>
            <w:webHidden/>
          </w:rPr>
          <w:instrText xml:space="preserve"> PAGEREF _Toc13470655 \h </w:instrText>
        </w:r>
        <w:r w:rsidR="0034634B">
          <w:rPr>
            <w:noProof/>
            <w:webHidden/>
          </w:rPr>
        </w:r>
        <w:r w:rsidR="0034634B">
          <w:rPr>
            <w:noProof/>
            <w:webHidden/>
          </w:rPr>
          <w:fldChar w:fldCharType="separate"/>
        </w:r>
        <w:r w:rsidR="005040D9">
          <w:rPr>
            <w:noProof/>
            <w:webHidden/>
          </w:rPr>
          <w:t>4</w:t>
        </w:r>
        <w:r w:rsidR="0034634B">
          <w:rPr>
            <w:noProof/>
            <w:webHidden/>
          </w:rPr>
          <w:fldChar w:fldCharType="end"/>
        </w:r>
      </w:hyperlink>
    </w:p>
    <w:p w:rsidR="00EE1CB7" w:rsidRDefault="00A503E6">
      <w:pPr>
        <w:pStyle w:val="22"/>
        <w:rPr>
          <w:rFonts w:asciiTheme="minorHAnsi" w:eastAsiaTheme="minorEastAsia" w:hAnsiTheme="minorHAnsi" w:cstheme="minorBidi"/>
          <w:sz w:val="22"/>
          <w:szCs w:val="22"/>
          <w:lang w:val="en-GB" w:eastAsia="en-GB" w:bidi="ar-SA"/>
        </w:rPr>
      </w:pPr>
      <w:hyperlink w:anchor="_Toc13470656" w:history="1">
        <w:r w:rsidR="0034634B">
          <w:rPr>
            <w:rStyle w:val="-"/>
          </w:rPr>
          <w:t>Μέτρα για τη μετάβαση σε μια κυκλική οικονομία</w:t>
        </w:r>
        <w:r w:rsidR="0034634B">
          <w:rPr>
            <w:webHidden/>
          </w:rPr>
          <w:tab/>
        </w:r>
        <w:r w:rsidR="0034634B">
          <w:rPr>
            <w:webHidden/>
          </w:rPr>
          <w:fldChar w:fldCharType="begin"/>
        </w:r>
        <w:r w:rsidR="0034634B">
          <w:rPr>
            <w:webHidden/>
          </w:rPr>
          <w:instrText xml:space="preserve"> PAGEREF _Toc13470656 \h </w:instrText>
        </w:r>
        <w:r w:rsidR="0034634B">
          <w:rPr>
            <w:webHidden/>
          </w:rPr>
        </w:r>
        <w:r w:rsidR="0034634B">
          <w:rPr>
            <w:webHidden/>
          </w:rPr>
          <w:fldChar w:fldCharType="separate"/>
        </w:r>
        <w:r w:rsidR="005040D9">
          <w:rPr>
            <w:webHidden/>
          </w:rPr>
          <w:t>4</w:t>
        </w:r>
        <w:r w:rsidR="0034634B">
          <w:rPr>
            <w:webHidden/>
          </w:rPr>
          <w:fldChar w:fldCharType="end"/>
        </w:r>
      </w:hyperlink>
    </w:p>
    <w:p w:rsidR="00EE1CB7" w:rsidRDefault="00A503E6">
      <w:pPr>
        <w:pStyle w:val="22"/>
        <w:rPr>
          <w:rFonts w:asciiTheme="minorHAnsi" w:eastAsiaTheme="minorEastAsia" w:hAnsiTheme="minorHAnsi" w:cstheme="minorBidi"/>
          <w:sz w:val="22"/>
          <w:szCs w:val="22"/>
          <w:lang w:val="en-GB" w:eastAsia="en-GB" w:bidi="ar-SA"/>
        </w:rPr>
      </w:pPr>
      <w:hyperlink w:anchor="_Toc13470657" w:history="1">
        <w:r w:rsidR="0034634B">
          <w:rPr>
            <w:rStyle w:val="-"/>
          </w:rPr>
          <w:t>Διαχείριση των αποβλήτων</w:t>
        </w:r>
        <w:r w:rsidR="0034634B">
          <w:rPr>
            <w:webHidden/>
          </w:rPr>
          <w:tab/>
        </w:r>
        <w:r w:rsidR="0034634B">
          <w:rPr>
            <w:webHidden/>
          </w:rPr>
          <w:fldChar w:fldCharType="begin"/>
        </w:r>
        <w:r w:rsidR="0034634B">
          <w:rPr>
            <w:webHidden/>
          </w:rPr>
          <w:instrText xml:space="preserve"> PAGEREF _Toc13470657 \h </w:instrText>
        </w:r>
        <w:r w:rsidR="0034634B">
          <w:rPr>
            <w:webHidden/>
          </w:rPr>
        </w:r>
        <w:r w:rsidR="0034634B">
          <w:rPr>
            <w:webHidden/>
          </w:rPr>
          <w:fldChar w:fldCharType="separate"/>
        </w:r>
        <w:r w:rsidR="005040D9">
          <w:rPr>
            <w:webHidden/>
          </w:rPr>
          <w:t>7</w:t>
        </w:r>
        <w:r w:rsidR="0034634B">
          <w:rPr>
            <w:webHidden/>
          </w:rPr>
          <w:fldChar w:fldCharType="end"/>
        </w:r>
      </w:hyperlink>
    </w:p>
    <w:p w:rsidR="00EE1CB7" w:rsidRDefault="00A503E6">
      <w:pPr>
        <w:pStyle w:val="22"/>
        <w:rPr>
          <w:rFonts w:asciiTheme="minorHAnsi" w:eastAsiaTheme="minorEastAsia" w:hAnsiTheme="minorHAnsi" w:cstheme="minorBidi"/>
          <w:sz w:val="22"/>
          <w:szCs w:val="22"/>
          <w:lang w:val="en-GB" w:eastAsia="en-GB" w:bidi="ar-SA"/>
        </w:rPr>
      </w:pPr>
      <w:hyperlink w:anchor="_Toc13470658" w:history="1">
        <w:r w:rsidR="0034634B">
          <w:rPr>
            <w:rStyle w:val="-"/>
          </w:rPr>
          <w:t>Κλιματική αλλαγή</w:t>
        </w:r>
        <w:r w:rsidR="0034634B">
          <w:rPr>
            <w:webHidden/>
          </w:rPr>
          <w:tab/>
        </w:r>
        <w:r w:rsidR="0034634B">
          <w:rPr>
            <w:webHidden/>
          </w:rPr>
          <w:fldChar w:fldCharType="begin"/>
        </w:r>
        <w:r w:rsidR="0034634B">
          <w:rPr>
            <w:webHidden/>
          </w:rPr>
          <w:instrText xml:space="preserve"> PAGEREF _Toc13470658 \h </w:instrText>
        </w:r>
        <w:r w:rsidR="0034634B">
          <w:rPr>
            <w:webHidden/>
          </w:rPr>
        </w:r>
        <w:r w:rsidR="0034634B">
          <w:rPr>
            <w:webHidden/>
          </w:rPr>
          <w:fldChar w:fldCharType="separate"/>
        </w:r>
        <w:r w:rsidR="005040D9">
          <w:rPr>
            <w:webHidden/>
          </w:rPr>
          <w:t>9</w:t>
        </w:r>
        <w:r w:rsidR="0034634B">
          <w:rPr>
            <w:webHidden/>
          </w:rPr>
          <w:fldChar w:fldCharType="end"/>
        </w:r>
      </w:hyperlink>
    </w:p>
    <w:p w:rsidR="00EE1CB7" w:rsidRDefault="00A503E6">
      <w:pPr>
        <w:pStyle w:val="10"/>
        <w:rPr>
          <w:rFonts w:asciiTheme="minorHAnsi" w:eastAsiaTheme="minorEastAsia" w:hAnsiTheme="minorHAnsi" w:cstheme="minorBidi"/>
          <w:caps w:val="0"/>
          <w:noProof/>
          <w:sz w:val="22"/>
          <w:szCs w:val="22"/>
          <w:lang w:val="en-GB" w:eastAsia="en-GB" w:bidi="ar-SA"/>
        </w:rPr>
      </w:pPr>
      <w:hyperlink w:anchor="_Toc13470659" w:history="1">
        <w:r w:rsidR="0034634B">
          <w:rPr>
            <w:rStyle w:val="-"/>
            <w:rFonts w:eastAsiaTheme="majorBidi" w:cstheme="majorBidi"/>
            <w:b/>
            <w:bCs/>
            <w:noProof/>
          </w:rPr>
          <w:t>2.</w:t>
        </w:r>
        <w:r w:rsidR="0034634B">
          <w:rPr>
            <w:rFonts w:asciiTheme="minorHAnsi" w:eastAsiaTheme="minorEastAsia" w:hAnsiTheme="minorHAnsi" w:cstheme="minorBidi"/>
            <w:caps w:val="0"/>
            <w:noProof/>
            <w:sz w:val="22"/>
            <w:szCs w:val="22"/>
            <w:lang w:val="en-GB" w:eastAsia="en-GB" w:bidi="ar-SA"/>
          </w:rPr>
          <w:tab/>
        </w:r>
        <w:r w:rsidR="0034634B">
          <w:rPr>
            <w:rStyle w:val="-"/>
            <w:rFonts w:eastAsiaTheme="majorBidi" w:cstheme="majorBidi"/>
            <w:b/>
            <w:noProof/>
          </w:rPr>
          <w:t>Προστασία, διατήρηση και ενίσχυση του φυσικού κεφαλαίου</w:t>
        </w:r>
        <w:r w:rsidR="0034634B">
          <w:rPr>
            <w:noProof/>
            <w:webHidden/>
          </w:rPr>
          <w:tab/>
        </w:r>
        <w:r w:rsidR="0034634B">
          <w:rPr>
            <w:noProof/>
            <w:webHidden/>
          </w:rPr>
          <w:fldChar w:fldCharType="begin"/>
        </w:r>
        <w:r w:rsidR="0034634B">
          <w:rPr>
            <w:noProof/>
            <w:webHidden/>
          </w:rPr>
          <w:instrText xml:space="preserve"> PAGEREF _Toc13470659 \h </w:instrText>
        </w:r>
        <w:r w:rsidR="0034634B">
          <w:rPr>
            <w:noProof/>
            <w:webHidden/>
          </w:rPr>
        </w:r>
        <w:r w:rsidR="0034634B">
          <w:rPr>
            <w:noProof/>
            <w:webHidden/>
          </w:rPr>
          <w:fldChar w:fldCharType="separate"/>
        </w:r>
        <w:r w:rsidR="005040D9">
          <w:rPr>
            <w:noProof/>
            <w:webHidden/>
          </w:rPr>
          <w:t>12</w:t>
        </w:r>
        <w:r w:rsidR="0034634B">
          <w:rPr>
            <w:noProof/>
            <w:webHidden/>
          </w:rPr>
          <w:fldChar w:fldCharType="end"/>
        </w:r>
      </w:hyperlink>
    </w:p>
    <w:p w:rsidR="00EE1CB7" w:rsidRDefault="00A503E6">
      <w:pPr>
        <w:pStyle w:val="22"/>
        <w:rPr>
          <w:rFonts w:asciiTheme="minorHAnsi" w:eastAsiaTheme="minorEastAsia" w:hAnsiTheme="minorHAnsi" w:cstheme="minorBidi"/>
          <w:sz w:val="22"/>
          <w:szCs w:val="22"/>
          <w:lang w:val="en-GB" w:eastAsia="en-GB" w:bidi="ar-SA"/>
        </w:rPr>
      </w:pPr>
      <w:hyperlink w:anchor="_Toc13470660" w:history="1">
        <w:r w:rsidR="0034634B">
          <w:rPr>
            <w:rStyle w:val="-"/>
          </w:rPr>
          <w:t>Φύση και βιοποικιλότητα</w:t>
        </w:r>
        <w:r w:rsidR="0034634B">
          <w:rPr>
            <w:webHidden/>
          </w:rPr>
          <w:tab/>
        </w:r>
        <w:r w:rsidR="0034634B">
          <w:rPr>
            <w:webHidden/>
          </w:rPr>
          <w:fldChar w:fldCharType="begin"/>
        </w:r>
        <w:r w:rsidR="0034634B">
          <w:rPr>
            <w:webHidden/>
          </w:rPr>
          <w:instrText xml:space="preserve"> PAGEREF _Toc13470660 \h </w:instrText>
        </w:r>
        <w:r w:rsidR="0034634B">
          <w:rPr>
            <w:webHidden/>
          </w:rPr>
        </w:r>
        <w:r w:rsidR="0034634B">
          <w:rPr>
            <w:webHidden/>
          </w:rPr>
          <w:fldChar w:fldCharType="separate"/>
        </w:r>
        <w:r w:rsidR="005040D9">
          <w:rPr>
            <w:webHidden/>
          </w:rPr>
          <w:t>12</w:t>
        </w:r>
        <w:r w:rsidR="0034634B">
          <w:rPr>
            <w:webHidden/>
          </w:rPr>
          <w:fldChar w:fldCharType="end"/>
        </w:r>
      </w:hyperlink>
    </w:p>
    <w:p w:rsidR="00EE1CB7" w:rsidRDefault="00A503E6">
      <w:pPr>
        <w:pStyle w:val="22"/>
        <w:rPr>
          <w:rFonts w:asciiTheme="minorHAnsi" w:eastAsiaTheme="minorEastAsia" w:hAnsiTheme="minorHAnsi" w:cstheme="minorBidi"/>
          <w:sz w:val="22"/>
          <w:szCs w:val="22"/>
          <w:lang w:val="en-GB" w:eastAsia="en-GB" w:bidi="ar-SA"/>
        </w:rPr>
      </w:pPr>
      <w:hyperlink w:anchor="_Toc13470661" w:history="1">
        <w:r w:rsidR="0034634B">
          <w:rPr>
            <w:rStyle w:val="-"/>
          </w:rPr>
          <w:t>Διατήρηση και αποκατάσταση των οικοσυστημάτων και των υπηρεσιών που παρέχουν</w:t>
        </w:r>
        <w:r w:rsidR="0034634B">
          <w:rPr>
            <w:webHidden/>
          </w:rPr>
          <w:tab/>
        </w:r>
        <w:r w:rsidR="0034634B">
          <w:rPr>
            <w:webHidden/>
          </w:rPr>
          <w:fldChar w:fldCharType="begin"/>
        </w:r>
        <w:r w:rsidR="0034634B">
          <w:rPr>
            <w:webHidden/>
          </w:rPr>
          <w:instrText xml:space="preserve"> PAGEREF _Toc13470661 \h </w:instrText>
        </w:r>
        <w:r w:rsidR="0034634B">
          <w:rPr>
            <w:webHidden/>
          </w:rPr>
        </w:r>
        <w:r w:rsidR="0034634B">
          <w:rPr>
            <w:webHidden/>
          </w:rPr>
          <w:fldChar w:fldCharType="separate"/>
        </w:r>
        <w:r w:rsidR="005040D9">
          <w:rPr>
            <w:webHidden/>
          </w:rPr>
          <w:t>14</w:t>
        </w:r>
        <w:r w:rsidR="0034634B">
          <w:rPr>
            <w:webHidden/>
          </w:rPr>
          <w:fldChar w:fldCharType="end"/>
        </w:r>
      </w:hyperlink>
    </w:p>
    <w:p w:rsidR="00EE1CB7" w:rsidRDefault="00A503E6">
      <w:pPr>
        <w:pStyle w:val="22"/>
        <w:rPr>
          <w:rFonts w:asciiTheme="minorHAnsi" w:eastAsiaTheme="minorEastAsia" w:hAnsiTheme="minorHAnsi" w:cstheme="minorBidi"/>
          <w:sz w:val="22"/>
          <w:szCs w:val="22"/>
          <w:lang w:val="en-GB" w:eastAsia="en-GB" w:bidi="ar-SA"/>
        </w:rPr>
      </w:pPr>
      <w:hyperlink w:anchor="_Toc13470662" w:history="1">
        <w:r w:rsidR="0034634B">
          <w:rPr>
            <w:rStyle w:val="-"/>
          </w:rPr>
          <w:t>Εκτίμηση του φυσικού κεφαλαίου</w:t>
        </w:r>
        <w:r w:rsidR="0034634B">
          <w:rPr>
            <w:webHidden/>
          </w:rPr>
          <w:tab/>
        </w:r>
        <w:r w:rsidR="0034634B">
          <w:rPr>
            <w:webHidden/>
          </w:rPr>
          <w:fldChar w:fldCharType="begin"/>
        </w:r>
        <w:r w:rsidR="0034634B">
          <w:rPr>
            <w:webHidden/>
          </w:rPr>
          <w:instrText xml:space="preserve"> PAGEREF _Toc13470662 \h </w:instrText>
        </w:r>
        <w:r w:rsidR="0034634B">
          <w:rPr>
            <w:webHidden/>
          </w:rPr>
        </w:r>
        <w:r w:rsidR="0034634B">
          <w:rPr>
            <w:webHidden/>
          </w:rPr>
          <w:fldChar w:fldCharType="separate"/>
        </w:r>
        <w:r w:rsidR="005040D9">
          <w:rPr>
            <w:webHidden/>
          </w:rPr>
          <w:t>14</w:t>
        </w:r>
        <w:r w:rsidR="0034634B">
          <w:rPr>
            <w:webHidden/>
          </w:rPr>
          <w:fldChar w:fldCharType="end"/>
        </w:r>
      </w:hyperlink>
    </w:p>
    <w:p w:rsidR="00EE1CB7" w:rsidRDefault="00A503E6">
      <w:pPr>
        <w:pStyle w:val="22"/>
        <w:rPr>
          <w:rFonts w:asciiTheme="minorHAnsi" w:eastAsiaTheme="minorEastAsia" w:hAnsiTheme="minorHAnsi" w:cstheme="minorBidi"/>
          <w:sz w:val="22"/>
          <w:szCs w:val="22"/>
          <w:lang w:val="en-GB" w:eastAsia="en-GB" w:bidi="ar-SA"/>
        </w:rPr>
      </w:pPr>
      <w:hyperlink w:anchor="_Toc13470663" w:history="1">
        <w:r w:rsidR="0034634B">
          <w:rPr>
            <w:rStyle w:val="-"/>
          </w:rPr>
          <w:t>Χωροκατακτητικά ξένα είδη</w:t>
        </w:r>
        <w:r w:rsidR="0034634B">
          <w:rPr>
            <w:webHidden/>
          </w:rPr>
          <w:tab/>
        </w:r>
        <w:r w:rsidR="0034634B">
          <w:rPr>
            <w:webHidden/>
          </w:rPr>
          <w:fldChar w:fldCharType="begin"/>
        </w:r>
        <w:r w:rsidR="0034634B">
          <w:rPr>
            <w:webHidden/>
          </w:rPr>
          <w:instrText xml:space="preserve"> PAGEREF _Toc13470663 \h </w:instrText>
        </w:r>
        <w:r w:rsidR="0034634B">
          <w:rPr>
            <w:webHidden/>
          </w:rPr>
        </w:r>
        <w:r w:rsidR="0034634B">
          <w:rPr>
            <w:webHidden/>
          </w:rPr>
          <w:fldChar w:fldCharType="separate"/>
        </w:r>
        <w:r w:rsidR="005040D9">
          <w:rPr>
            <w:webHidden/>
          </w:rPr>
          <w:t>15</w:t>
        </w:r>
        <w:r w:rsidR="0034634B">
          <w:rPr>
            <w:webHidden/>
          </w:rPr>
          <w:fldChar w:fldCharType="end"/>
        </w:r>
      </w:hyperlink>
    </w:p>
    <w:p w:rsidR="00EE1CB7" w:rsidRDefault="00A503E6">
      <w:pPr>
        <w:pStyle w:val="22"/>
        <w:rPr>
          <w:rFonts w:asciiTheme="minorHAnsi" w:eastAsiaTheme="minorEastAsia" w:hAnsiTheme="minorHAnsi" w:cstheme="minorBidi"/>
          <w:sz w:val="22"/>
          <w:szCs w:val="22"/>
          <w:lang w:val="en-GB" w:eastAsia="en-GB" w:bidi="ar-SA"/>
        </w:rPr>
      </w:pPr>
      <w:hyperlink w:anchor="_Toc13470664" w:history="1">
        <w:r w:rsidR="0034634B">
          <w:rPr>
            <w:rStyle w:val="-"/>
          </w:rPr>
          <w:t>Προστασία του εδάφους</w:t>
        </w:r>
        <w:r w:rsidR="0034634B">
          <w:rPr>
            <w:webHidden/>
          </w:rPr>
          <w:tab/>
        </w:r>
        <w:r w:rsidR="0034634B">
          <w:rPr>
            <w:webHidden/>
          </w:rPr>
          <w:fldChar w:fldCharType="begin"/>
        </w:r>
        <w:r w:rsidR="0034634B">
          <w:rPr>
            <w:webHidden/>
          </w:rPr>
          <w:instrText xml:space="preserve"> PAGEREF _Toc13470664 \h </w:instrText>
        </w:r>
        <w:r w:rsidR="0034634B">
          <w:rPr>
            <w:webHidden/>
          </w:rPr>
        </w:r>
        <w:r w:rsidR="0034634B">
          <w:rPr>
            <w:webHidden/>
          </w:rPr>
          <w:fldChar w:fldCharType="separate"/>
        </w:r>
        <w:r w:rsidR="005040D9">
          <w:rPr>
            <w:webHidden/>
          </w:rPr>
          <w:t>16</w:t>
        </w:r>
        <w:r w:rsidR="0034634B">
          <w:rPr>
            <w:webHidden/>
          </w:rPr>
          <w:fldChar w:fldCharType="end"/>
        </w:r>
      </w:hyperlink>
    </w:p>
    <w:p w:rsidR="00EE1CB7" w:rsidRDefault="00A503E6">
      <w:pPr>
        <w:pStyle w:val="22"/>
        <w:rPr>
          <w:rFonts w:asciiTheme="minorHAnsi" w:eastAsiaTheme="minorEastAsia" w:hAnsiTheme="minorHAnsi" w:cstheme="minorBidi"/>
          <w:sz w:val="22"/>
          <w:szCs w:val="22"/>
          <w:lang w:val="en-GB" w:eastAsia="en-GB" w:bidi="ar-SA"/>
        </w:rPr>
      </w:pPr>
      <w:hyperlink w:anchor="_Toc13470665" w:history="1">
        <w:r w:rsidR="0034634B">
          <w:rPr>
            <w:rStyle w:val="-"/>
          </w:rPr>
          <w:t>Προστασία του θαλάσσιου περιβάλλοντος</w:t>
        </w:r>
        <w:r w:rsidR="0034634B">
          <w:rPr>
            <w:webHidden/>
          </w:rPr>
          <w:tab/>
        </w:r>
        <w:r w:rsidR="0034634B">
          <w:rPr>
            <w:webHidden/>
          </w:rPr>
          <w:fldChar w:fldCharType="begin"/>
        </w:r>
        <w:r w:rsidR="0034634B">
          <w:rPr>
            <w:webHidden/>
          </w:rPr>
          <w:instrText xml:space="preserve"> PAGEREF _Toc13470665 \h </w:instrText>
        </w:r>
        <w:r w:rsidR="0034634B">
          <w:rPr>
            <w:webHidden/>
          </w:rPr>
        </w:r>
        <w:r w:rsidR="0034634B">
          <w:rPr>
            <w:webHidden/>
          </w:rPr>
          <w:fldChar w:fldCharType="separate"/>
        </w:r>
        <w:r w:rsidR="005040D9">
          <w:rPr>
            <w:webHidden/>
          </w:rPr>
          <w:t>17</w:t>
        </w:r>
        <w:r w:rsidR="0034634B">
          <w:rPr>
            <w:webHidden/>
          </w:rPr>
          <w:fldChar w:fldCharType="end"/>
        </w:r>
      </w:hyperlink>
    </w:p>
    <w:p w:rsidR="00EE1CB7" w:rsidRDefault="00A503E6">
      <w:pPr>
        <w:pStyle w:val="10"/>
        <w:rPr>
          <w:rFonts w:asciiTheme="minorHAnsi" w:eastAsiaTheme="minorEastAsia" w:hAnsiTheme="minorHAnsi" w:cstheme="minorBidi"/>
          <w:caps w:val="0"/>
          <w:noProof/>
          <w:sz w:val="22"/>
          <w:szCs w:val="22"/>
          <w:lang w:val="en-GB" w:eastAsia="en-GB" w:bidi="ar-SA"/>
        </w:rPr>
      </w:pPr>
      <w:hyperlink w:anchor="_Toc13470666" w:history="1">
        <w:r w:rsidR="0034634B">
          <w:rPr>
            <w:rStyle w:val="-"/>
            <w:rFonts w:eastAsiaTheme="majorBidi" w:cstheme="minorHAnsi"/>
            <w:b/>
            <w:bCs/>
            <w:noProof/>
          </w:rPr>
          <w:t>3.</w:t>
        </w:r>
        <w:r w:rsidR="0034634B">
          <w:rPr>
            <w:rFonts w:asciiTheme="minorHAnsi" w:eastAsiaTheme="minorEastAsia" w:hAnsiTheme="minorHAnsi" w:cstheme="minorBidi"/>
            <w:caps w:val="0"/>
            <w:noProof/>
            <w:sz w:val="22"/>
            <w:szCs w:val="22"/>
            <w:lang w:val="en-GB" w:eastAsia="en-GB" w:bidi="ar-SA"/>
          </w:rPr>
          <w:tab/>
        </w:r>
        <w:r w:rsidR="0034634B">
          <w:rPr>
            <w:rStyle w:val="-"/>
            <w:rFonts w:eastAsiaTheme="majorBidi" w:cstheme="minorHAnsi"/>
            <w:b/>
            <w:noProof/>
          </w:rPr>
          <w:t>Διασφάλιση της υγείας και της ποιότητας ζωής των πολιτών</w:t>
        </w:r>
        <w:r w:rsidR="0034634B">
          <w:rPr>
            <w:noProof/>
            <w:webHidden/>
          </w:rPr>
          <w:tab/>
        </w:r>
        <w:r w:rsidR="0034634B">
          <w:rPr>
            <w:noProof/>
            <w:webHidden/>
          </w:rPr>
          <w:fldChar w:fldCharType="begin"/>
        </w:r>
        <w:r w:rsidR="0034634B">
          <w:rPr>
            <w:noProof/>
            <w:webHidden/>
          </w:rPr>
          <w:instrText xml:space="preserve"> PAGEREF _Toc13470666 \h </w:instrText>
        </w:r>
        <w:r w:rsidR="0034634B">
          <w:rPr>
            <w:noProof/>
            <w:webHidden/>
          </w:rPr>
        </w:r>
        <w:r w:rsidR="0034634B">
          <w:rPr>
            <w:noProof/>
            <w:webHidden/>
          </w:rPr>
          <w:fldChar w:fldCharType="separate"/>
        </w:r>
        <w:r w:rsidR="005040D9">
          <w:rPr>
            <w:noProof/>
            <w:webHidden/>
          </w:rPr>
          <w:t>19</w:t>
        </w:r>
        <w:r w:rsidR="0034634B">
          <w:rPr>
            <w:noProof/>
            <w:webHidden/>
          </w:rPr>
          <w:fldChar w:fldCharType="end"/>
        </w:r>
      </w:hyperlink>
    </w:p>
    <w:p w:rsidR="00EE1CB7" w:rsidRDefault="00A503E6">
      <w:pPr>
        <w:pStyle w:val="22"/>
        <w:rPr>
          <w:rFonts w:asciiTheme="minorHAnsi" w:eastAsiaTheme="minorEastAsia" w:hAnsiTheme="minorHAnsi" w:cstheme="minorBidi"/>
          <w:sz w:val="22"/>
          <w:szCs w:val="22"/>
          <w:lang w:val="en-GB" w:eastAsia="en-GB" w:bidi="ar-SA"/>
        </w:rPr>
      </w:pPr>
      <w:hyperlink w:anchor="_Toc13470667" w:history="1">
        <w:r w:rsidR="0034634B">
          <w:rPr>
            <w:rStyle w:val="-"/>
          </w:rPr>
          <w:t>Ποιότητα του ατμοσφαιρικού αέρα</w:t>
        </w:r>
        <w:r w:rsidR="0034634B">
          <w:rPr>
            <w:webHidden/>
          </w:rPr>
          <w:tab/>
        </w:r>
        <w:r w:rsidR="0034634B">
          <w:rPr>
            <w:webHidden/>
          </w:rPr>
          <w:fldChar w:fldCharType="begin"/>
        </w:r>
        <w:r w:rsidR="0034634B">
          <w:rPr>
            <w:webHidden/>
          </w:rPr>
          <w:instrText xml:space="preserve"> PAGEREF _Toc13470667 \h </w:instrText>
        </w:r>
        <w:r w:rsidR="0034634B">
          <w:rPr>
            <w:webHidden/>
          </w:rPr>
        </w:r>
        <w:r w:rsidR="0034634B">
          <w:rPr>
            <w:webHidden/>
          </w:rPr>
          <w:fldChar w:fldCharType="separate"/>
        </w:r>
        <w:r w:rsidR="005040D9">
          <w:rPr>
            <w:webHidden/>
          </w:rPr>
          <w:t>19</w:t>
        </w:r>
        <w:r w:rsidR="0034634B">
          <w:rPr>
            <w:webHidden/>
          </w:rPr>
          <w:fldChar w:fldCharType="end"/>
        </w:r>
      </w:hyperlink>
    </w:p>
    <w:p w:rsidR="00EE1CB7" w:rsidRDefault="00A503E6">
      <w:pPr>
        <w:pStyle w:val="22"/>
        <w:rPr>
          <w:rFonts w:asciiTheme="minorHAnsi" w:eastAsiaTheme="minorEastAsia" w:hAnsiTheme="minorHAnsi" w:cstheme="minorBidi"/>
          <w:sz w:val="22"/>
          <w:szCs w:val="22"/>
          <w:lang w:val="en-GB" w:eastAsia="en-GB" w:bidi="ar-SA"/>
        </w:rPr>
      </w:pPr>
      <w:hyperlink w:anchor="_Toc13470668" w:history="1">
        <w:r w:rsidR="0034634B">
          <w:rPr>
            <w:rStyle w:val="-"/>
          </w:rPr>
          <w:t>Βιομηχανικές εκπομπές</w:t>
        </w:r>
        <w:r w:rsidR="0034634B">
          <w:rPr>
            <w:webHidden/>
          </w:rPr>
          <w:tab/>
        </w:r>
        <w:r w:rsidR="0034634B">
          <w:rPr>
            <w:webHidden/>
          </w:rPr>
          <w:fldChar w:fldCharType="begin"/>
        </w:r>
        <w:r w:rsidR="0034634B">
          <w:rPr>
            <w:webHidden/>
          </w:rPr>
          <w:instrText xml:space="preserve"> PAGEREF _Toc13470668 \h </w:instrText>
        </w:r>
        <w:r w:rsidR="0034634B">
          <w:rPr>
            <w:webHidden/>
          </w:rPr>
        </w:r>
        <w:r w:rsidR="0034634B">
          <w:rPr>
            <w:webHidden/>
          </w:rPr>
          <w:fldChar w:fldCharType="separate"/>
        </w:r>
        <w:r w:rsidR="005040D9">
          <w:rPr>
            <w:webHidden/>
          </w:rPr>
          <w:t>20</w:t>
        </w:r>
        <w:r w:rsidR="0034634B">
          <w:rPr>
            <w:webHidden/>
          </w:rPr>
          <w:fldChar w:fldCharType="end"/>
        </w:r>
      </w:hyperlink>
    </w:p>
    <w:p w:rsidR="00EE1CB7" w:rsidRDefault="00A503E6">
      <w:pPr>
        <w:pStyle w:val="22"/>
        <w:rPr>
          <w:rFonts w:asciiTheme="minorHAnsi" w:eastAsiaTheme="minorEastAsia" w:hAnsiTheme="minorHAnsi" w:cstheme="minorBidi"/>
          <w:sz w:val="22"/>
          <w:szCs w:val="22"/>
          <w:lang w:val="en-GB" w:eastAsia="en-GB" w:bidi="ar-SA"/>
        </w:rPr>
      </w:pPr>
      <w:hyperlink w:anchor="_Toc13470669" w:history="1">
        <w:r w:rsidR="0034634B">
          <w:rPr>
            <w:rStyle w:val="-"/>
          </w:rPr>
          <w:t>Θόρυβος</w:t>
        </w:r>
        <w:r w:rsidR="0034634B">
          <w:rPr>
            <w:webHidden/>
          </w:rPr>
          <w:tab/>
        </w:r>
        <w:r w:rsidR="0034634B">
          <w:rPr>
            <w:webHidden/>
          </w:rPr>
          <w:fldChar w:fldCharType="begin"/>
        </w:r>
        <w:r w:rsidR="0034634B">
          <w:rPr>
            <w:webHidden/>
          </w:rPr>
          <w:instrText xml:space="preserve"> PAGEREF _Toc13470669 \h </w:instrText>
        </w:r>
        <w:r w:rsidR="0034634B">
          <w:rPr>
            <w:webHidden/>
          </w:rPr>
        </w:r>
        <w:r w:rsidR="0034634B">
          <w:rPr>
            <w:webHidden/>
          </w:rPr>
          <w:fldChar w:fldCharType="separate"/>
        </w:r>
        <w:r w:rsidR="005040D9">
          <w:rPr>
            <w:webHidden/>
          </w:rPr>
          <w:t>22</w:t>
        </w:r>
        <w:r w:rsidR="0034634B">
          <w:rPr>
            <w:webHidden/>
          </w:rPr>
          <w:fldChar w:fldCharType="end"/>
        </w:r>
      </w:hyperlink>
    </w:p>
    <w:p w:rsidR="00EE1CB7" w:rsidRDefault="00A503E6">
      <w:pPr>
        <w:pStyle w:val="22"/>
        <w:rPr>
          <w:rFonts w:asciiTheme="minorHAnsi" w:eastAsiaTheme="minorEastAsia" w:hAnsiTheme="minorHAnsi" w:cstheme="minorBidi"/>
          <w:sz w:val="22"/>
          <w:szCs w:val="22"/>
          <w:lang w:val="en-GB" w:eastAsia="en-GB" w:bidi="ar-SA"/>
        </w:rPr>
      </w:pPr>
      <w:hyperlink w:anchor="_Toc13470670" w:history="1">
        <w:r w:rsidR="0034634B">
          <w:rPr>
            <w:rStyle w:val="-"/>
          </w:rPr>
          <w:t>Ποιότητα και διαχείριση των υδάτων</w:t>
        </w:r>
        <w:r w:rsidR="0034634B">
          <w:rPr>
            <w:webHidden/>
          </w:rPr>
          <w:tab/>
        </w:r>
        <w:r w:rsidR="0034634B">
          <w:rPr>
            <w:webHidden/>
          </w:rPr>
          <w:fldChar w:fldCharType="begin"/>
        </w:r>
        <w:r w:rsidR="0034634B">
          <w:rPr>
            <w:webHidden/>
          </w:rPr>
          <w:instrText xml:space="preserve"> PAGEREF _Toc13470670 \h </w:instrText>
        </w:r>
        <w:r w:rsidR="0034634B">
          <w:rPr>
            <w:webHidden/>
          </w:rPr>
        </w:r>
        <w:r w:rsidR="0034634B">
          <w:rPr>
            <w:webHidden/>
          </w:rPr>
          <w:fldChar w:fldCharType="separate"/>
        </w:r>
        <w:r w:rsidR="005040D9">
          <w:rPr>
            <w:webHidden/>
          </w:rPr>
          <w:t>22</w:t>
        </w:r>
        <w:r w:rsidR="0034634B">
          <w:rPr>
            <w:webHidden/>
          </w:rPr>
          <w:fldChar w:fldCharType="end"/>
        </w:r>
      </w:hyperlink>
    </w:p>
    <w:p w:rsidR="00EE1CB7" w:rsidRDefault="00A503E6">
      <w:pPr>
        <w:pStyle w:val="22"/>
        <w:rPr>
          <w:rFonts w:asciiTheme="minorHAnsi" w:eastAsiaTheme="minorEastAsia" w:hAnsiTheme="minorHAnsi" w:cstheme="minorBidi"/>
          <w:sz w:val="22"/>
          <w:szCs w:val="22"/>
          <w:lang w:val="en-GB" w:eastAsia="en-GB" w:bidi="ar-SA"/>
        </w:rPr>
      </w:pPr>
      <w:hyperlink w:anchor="_Toc13470671" w:history="1">
        <w:r w:rsidR="0034634B">
          <w:rPr>
            <w:rStyle w:val="-"/>
          </w:rPr>
          <w:t>Χημικές ουσίες</w:t>
        </w:r>
        <w:r w:rsidR="0034634B">
          <w:rPr>
            <w:webHidden/>
          </w:rPr>
          <w:tab/>
        </w:r>
        <w:r w:rsidR="0034634B">
          <w:rPr>
            <w:webHidden/>
          </w:rPr>
          <w:fldChar w:fldCharType="begin"/>
        </w:r>
        <w:r w:rsidR="0034634B">
          <w:rPr>
            <w:webHidden/>
          </w:rPr>
          <w:instrText xml:space="preserve"> PAGEREF _Toc13470671 \h </w:instrText>
        </w:r>
        <w:r w:rsidR="0034634B">
          <w:rPr>
            <w:webHidden/>
          </w:rPr>
        </w:r>
        <w:r w:rsidR="0034634B">
          <w:rPr>
            <w:webHidden/>
          </w:rPr>
          <w:fldChar w:fldCharType="separate"/>
        </w:r>
        <w:r w:rsidR="005040D9">
          <w:rPr>
            <w:webHidden/>
          </w:rPr>
          <w:t>24</w:t>
        </w:r>
        <w:r w:rsidR="0034634B">
          <w:rPr>
            <w:webHidden/>
          </w:rPr>
          <w:fldChar w:fldCharType="end"/>
        </w:r>
      </w:hyperlink>
    </w:p>
    <w:p w:rsidR="00EE1CB7" w:rsidRDefault="00A503E6">
      <w:pPr>
        <w:pStyle w:val="22"/>
        <w:rPr>
          <w:rFonts w:asciiTheme="minorHAnsi" w:eastAsiaTheme="minorEastAsia" w:hAnsiTheme="minorHAnsi" w:cstheme="minorBidi"/>
          <w:sz w:val="22"/>
          <w:szCs w:val="22"/>
          <w:lang w:val="en-GB" w:eastAsia="en-GB" w:bidi="ar-SA"/>
        </w:rPr>
      </w:pPr>
      <w:hyperlink w:anchor="_Toc13470672" w:history="1">
        <w:r w:rsidR="0034634B">
          <w:rPr>
            <w:rStyle w:val="-"/>
          </w:rPr>
          <w:t>Ενίσχυση της βιωσιμότητας των πόλεων</w:t>
        </w:r>
        <w:r w:rsidR="0034634B">
          <w:rPr>
            <w:webHidden/>
          </w:rPr>
          <w:tab/>
        </w:r>
        <w:r w:rsidR="0034634B">
          <w:rPr>
            <w:webHidden/>
          </w:rPr>
          <w:fldChar w:fldCharType="begin"/>
        </w:r>
        <w:r w:rsidR="0034634B">
          <w:rPr>
            <w:webHidden/>
          </w:rPr>
          <w:instrText xml:space="preserve"> PAGEREF _Toc13470672 \h </w:instrText>
        </w:r>
        <w:r w:rsidR="0034634B">
          <w:rPr>
            <w:webHidden/>
          </w:rPr>
        </w:r>
        <w:r w:rsidR="0034634B">
          <w:rPr>
            <w:webHidden/>
          </w:rPr>
          <w:fldChar w:fldCharType="separate"/>
        </w:r>
        <w:r w:rsidR="005040D9">
          <w:rPr>
            <w:webHidden/>
          </w:rPr>
          <w:t>25</w:t>
        </w:r>
        <w:r w:rsidR="0034634B">
          <w:rPr>
            <w:webHidden/>
          </w:rPr>
          <w:fldChar w:fldCharType="end"/>
        </w:r>
      </w:hyperlink>
    </w:p>
    <w:p w:rsidR="00EE1CB7" w:rsidRDefault="00A503E6">
      <w:pPr>
        <w:pStyle w:val="10"/>
        <w:rPr>
          <w:rFonts w:asciiTheme="minorHAnsi" w:eastAsiaTheme="minorEastAsia" w:hAnsiTheme="minorHAnsi" w:cstheme="minorBidi"/>
          <w:caps w:val="0"/>
          <w:noProof/>
          <w:sz w:val="22"/>
          <w:szCs w:val="22"/>
          <w:lang w:val="en-GB" w:eastAsia="en-GB" w:bidi="ar-SA"/>
        </w:rPr>
      </w:pPr>
      <w:hyperlink w:anchor="_Toc13470673" w:history="1">
        <w:r w:rsidR="0034634B">
          <w:rPr>
            <w:rStyle w:val="-"/>
            <w:rFonts w:eastAsiaTheme="majorBidi" w:cstheme="majorBidi"/>
            <w:b/>
            <w:noProof/>
          </w:rPr>
          <w:t>Μέρος II: Πλαίσιο διευκόλυνσης: εργαλεία εφαρμογής</w:t>
        </w:r>
        <w:r w:rsidR="0034634B">
          <w:rPr>
            <w:noProof/>
            <w:webHidden/>
          </w:rPr>
          <w:tab/>
        </w:r>
        <w:r w:rsidR="0034634B">
          <w:rPr>
            <w:noProof/>
            <w:webHidden/>
          </w:rPr>
          <w:fldChar w:fldCharType="begin"/>
        </w:r>
        <w:r w:rsidR="0034634B">
          <w:rPr>
            <w:noProof/>
            <w:webHidden/>
          </w:rPr>
          <w:instrText xml:space="preserve"> PAGEREF _Toc13470673 \h </w:instrText>
        </w:r>
        <w:r w:rsidR="0034634B">
          <w:rPr>
            <w:noProof/>
            <w:webHidden/>
          </w:rPr>
        </w:r>
        <w:r w:rsidR="0034634B">
          <w:rPr>
            <w:noProof/>
            <w:webHidden/>
          </w:rPr>
          <w:fldChar w:fldCharType="separate"/>
        </w:r>
        <w:r w:rsidR="005040D9">
          <w:rPr>
            <w:noProof/>
            <w:webHidden/>
          </w:rPr>
          <w:t>28</w:t>
        </w:r>
        <w:r w:rsidR="0034634B">
          <w:rPr>
            <w:noProof/>
            <w:webHidden/>
          </w:rPr>
          <w:fldChar w:fldCharType="end"/>
        </w:r>
      </w:hyperlink>
    </w:p>
    <w:p w:rsidR="00EE1CB7" w:rsidRDefault="00A503E6">
      <w:pPr>
        <w:pStyle w:val="10"/>
        <w:rPr>
          <w:rFonts w:asciiTheme="minorHAnsi" w:eastAsiaTheme="minorEastAsia" w:hAnsiTheme="minorHAnsi" w:cstheme="minorBidi"/>
          <w:caps w:val="0"/>
          <w:noProof/>
          <w:sz w:val="22"/>
          <w:szCs w:val="22"/>
          <w:lang w:val="en-GB" w:eastAsia="en-GB" w:bidi="ar-SA"/>
        </w:rPr>
      </w:pPr>
      <w:hyperlink w:anchor="_Toc13470674" w:history="1">
        <w:r w:rsidR="0034634B">
          <w:rPr>
            <w:rStyle w:val="-"/>
            <w:rFonts w:eastAsiaTheme="majorBidi" w:cstheme="majorBidi"/>
            <w:b/>
            <w:noProof/>
          </w:rPr>
          <w:t>4. Πράσινη φορολογία, πράσινες δημόσιες συμβάσεις, περιβαλλοντική χρηματοδότηση και επενδύσεις</w:t>
        </w:r>
        <w:r w:rsidR="0034634B">
          <w:rPr>
            <w:noProof/>
            <w:webHidden/>
          </w:rPr>
          <w:tab/>
        </w:r>
        <w:r w:rsidR="0034634B">
          <w:rPr>
            <w:noProof/>
            <w:webHidden/>
          </w:rPr>
          <w:fldChar w:fldCharType="begin"/>
        </w:r>
        <w:r w:rsidR="0034634B">
          <w:rPr>
            <w:noProof/>
            <w:webHidden/>
          </w:rPr>
          <w:instrText xml:space="preserve"> PAGEREF _Toc13470674 \h </w:instrText>
        </w:r>
        <w:r w:rsidR="0034634B">
          <w:rPr>
            <w:noProof/>
            <w:webHidden/>
          </w:rPr>
        </w:r>
        <w:r w:rsidR="0034634B">
          <w:rPr>
            <w:noProof/>
            <w:webHidden/>
          </w:rPr>
          <w:fldChar w:fldCharType="separate"/>
        </w:r>
        <w:r w:rsidR="005040D9">
          <w:rPr>
            <w:noProof/>
            <w:webHidden/>
          </w:rPr>
          <w:t>28</w:t>
        </w:r>
        <w:r w:rsidR="0034634B">
          <w:rPr>
            <w:noProof/>
            <w:webHidden/>
          </w:rPr>
          <w:fldChar w:fldCharType="end"/>
        </w:r>
      </w:hyperlink>
    </w:p>
    <w:p w:rsidR="00EE1CB7" w:rsidRDefault="00A503E6">
      <w:pPr>
        <w:pStyle w:val="22"/>
        <w:rPr>
          <w:rFonts w:asciiTheme="minorHAnsi" w:eastAsiaTheme="minorEastAsia" w:hAnsiTheme="minorHAnsi" w:cstheme="minorBidi"/>
          <w:sz w:val="22"/>
          <w:szCs w:val="22"/>
          <w:lang w:val="en-GB" w:eastAsia="en-GB" w:bidi="ar-SA"/>
        </w:rPr>
      </w:pPr>
      <w:hyperlink w:anchor="_Toc13470675" w:history="1">
        <w:r w:rsidR="0034634B">
          <w:rPr>
            <w:rStyle w:val="-"/>
          </w:rPr>
          <w:t>Πράσινη φορολογία και περιβαλλοντικά επιβλαβείς επιδοτήσεις</w:t>
        </w:r>
        <w:r w:rsidR="0034634B">
          <w:rPr>
            <w:webHidden/>
          </w:rPr>
          <w:tab/>
        </w:r>
        <w:r w:rsidR="0034634B">
          <w:rPr>
            <w:webHidden/>
          </w:rPr>
          <w:fldChar w:fldCharType="begin"/>
        </w:r>
        <w:r w:rsidR="0034634B">
          <w:rPr>
            <w:webHidden/>
          </w:rPr>
          <w:instrText xml:space="preserve"> PAGEREF _Toc13470675 \h </w:instrText>
        </w:r>
        <w:r w:rsidR="0034634B">
          <w:rPr>
            <w:webHidden/>
          </w:rPr>
        </w:r>
        <w:r w:rsidR="0034634B">
          <w:rPr>
            <w:webHidden/>
          </w:rPr>
          <w:fldChar w:fldCharType="separate"/>
        </w:r>
        <w:r w:rsidR="005040D9">
          <w:rPr>
            <w:webHidden/>
          </w:rPr>
          <w:t>28</w:t>
        </w:r>
        <w:r w:rsidR="0034634B">
          <w:rPr>
            <w:webHidden/>
          </w:rPr>
          <w:fldChar w:fldCharType="end"/>
        </w:r>
      </w:hyperlink>
    </w:p>
    <w:p w:rsidR="00EE1CB7" w:rsidRDefault="00A503E6">
      <w:pPr>
        <w:pStyle w:val="22"/>
        <w:rPr>
          <w:rFonts w:asciiTheme="minorHAnsi" w:eastAsiaTheme="minorEastAsia" w:hAnsiTheme="minorHAnsi" w:cstheme="minorBidi"/>
          <w:sz w:val="22"/>
          <w:szCs w:val="22"/>
          <w:lang w:val="en-GB" w:eastAsia="en-GB" w:bidi="ar-SA"/>
        </w:rPr>
      </w:pPr>
      <w:hyperlink w:anchor="_Toc13470676" w:history="1">
        <w:r w:rsidR="0034634B">
          <w:rPr>
            <w:rStyle w:val="-"/>
          </w:rPr>
          <w:t>Πράσινες δημόσιες συμβάσεις</w:t>
        </w:r>
        <w:r w:rsidR="0034634B">
          <w:rPr>
            <w:webHidden/>
          </w:rPr>
          <w:tab/>
        </w:r>
        <w:r w:rsidR="0034634B">
          <w:rPr>
            <w:webHidden/>
          </w:rPr>
          <w:fldChar w:fldCharType="begin"/>
        </w:r>
        <w:r w:rsidR="0034634B">
          <w:rPr>
            <w:webHidden/>
          </w:rPr>
          <w:instrText xml:space="preserve"> PAGEREF _Toc13470676 \h </w:instrText>
        </w:r>
        <w:r w:rsidR="0034634B">
          <w:rPr>
            <w:webHidden/>
          </w:rPr>
        </w:r>
        <w:r w:rsidR="0034634B">
          <w:rPr>
            <w:webHidden/>
          </w:rPr>
          <w:fldChar w:fldCharType="separate"/>
        </w:r>
        <w:r w:rsidR="005040D9">
          <w:rPr>
            <w:webHidden/>
          </w:rPr>
          <w:t>29</w:t>
        </w:r>
        <w:r w:rsidR="0034634B">
          <w:rPr>
            <w:webHidden/>
          </w:rPr>
          <w:fldChar w:fldCharType="end"/>
        </w:r>
      </w:hyperlink>
    </w:p>
    <w:p w:rsidR="00EE1CB7" w:rsidRDefault="00A503E6">
      <w:pPr>
        <w:pStyle w:val="22"/>
        <w:rPr>
          <w:rFonts w:asciiTheme="minorHAnsi" w:eastAsiaTheme="minorEastAsia" w:hAnsiTheme="minorHAnsi" w:cstheme="minorBidi"/>
          <w:sz w:val="22"/>
          <w:szCs w:val="22"/>
          <w:lang w:val="en-GB" w:eastAsia="en-GB" w:bidi="ar-SA"/>
        </w:rPr>
      </w:pPr>
      <w:hyperlink w:anchor="_Toc13470677" w:history="1">
        <w:r w:rsidR="0034634B">
          <w:rPr>
            <w:rStyle w:val="-"/>
          </w:rPr>
          <w:t>Περιβαλλοντική χρηματοδότηση και επενδύσεις</w:t>
        </w:r>
        <w:r w:rsidR="0034634B">
          <w:rPr>
            <w:webHidden/>
          </w:rPr>
          <w:tab/>
        </w:r>
        <w:r w:rsidR="0034634B">
          <w:rPr>
            <w:webHidden/>
          </w:rPr>
          <w:fldChar w:fldCharType="begin"/>
        </w:r>
        <w:r w:rsidR="0034634B">
          <w:rPr>
            <w:webHidden/>
          </w:rPr>
          <w:instrText xml:space="preserve"> PAGEREF _Toc13470677 \h </w:instrText>
        </w:r>
        <w:r w:rsidR="0034634B">
          <w:rPr>
            <w:webHidden/>
          </w:rPr>
        </w:r>
        <w:r w:rsidR="0034634B">
          <w:rPr>
            <w:webHidden/>
          </w:rPr>
          <w:fldChar w:fldCharType="separate"/>
        </w:r>
        <w:r w:rsidR="005040D9">
          <w:rPr>
            <w:webHidden/>
          </w:rPr>
          <w:t>30</w:t>
        </w:r>
        <w:r w:rsidR="0034634B">
          <w:rPr>
            <w:webHidden/>
          </w:rPr>
          <w:fldChar w:fldCharType="end"/>
        </w:r>
      </w:hyperlink>
    </w:p>
    <w:p w:rsidR="00EE1CB7" w:rsidRDefault="00A503E6">
      <w:pPr>
        <w:pStyle w:val="10"/>
        <w:rPr>
          <w:rFonts w:asciiTheme="minorHAnsi" w:eastAsiaTheme="minorEastAsia" w:hAnsiTheme="minorHAnsi" w:cstheme="minorBidi"/>
          <w:caps w:val="0"/>
          <w:noProof/>
          <w:sz w:val="22"/>
          <w:szCs w:val="22"/>
          <w:lang w:val="en-GB" w:eastAsia="en-GB" w:bidi="ar-SA"/>
        </w:rPr>
      </w:pPr>
      <w:hyperlink w:anchor="_Toc13470678" w:history="1">
        <w:r w:rsidR="0034634B">
          <w:rPr>
            <w:rStyle w:val="-"/>
            <w:rFonts w:eastAsiaTheme="majorBidi" w:cstheme="majorBidi"/>
            <w:b/>
            <w:noProof/>
          </w:rPr>
          <w:t>5</w:t>
        </w:r>
        <w:r w:rsidR="0034634B">
          <w:rPr>
            <w:rStyle w:val="-"/>
            <w:rFonts w:asciiTheme="majorBidi" w:eastAsiaTheme="majorBidi" w:hAnsiTheme="majorBidi" w:cstheme="majorBidi"/>
            <w:b/>
            <w:noProof/>
          </w:rPr>
          <w:t xml:space="preserve">. </w:t>
        </w:r>
        <w:r w:rsidR="0034634B">
          <w:rPr>
            <w:rStyle w:val="-"/>
            <w:rFonts w:eastAsiaTheme="majorBidi" w:cstheme="majorBidi"/>
            <w:b/>
            <w:noProof/>
          </w:rPr>
          <w:t>Ενίσχυση της περιβαλλοντικής διακυβέρνησης</w:t>
        </w:r>
        <w:r w:rsidR="0034634B">
          <w:rPr>
            <w:noProof/>
            <w:webHidden/>
          </w:rPr>
          <w:tab/>
        </w:r>
        <w:r w:rsidR="0034634B">
          <w:rPr>
            <w:noProof/>
            <w:webHidden/>
          </w:rPr>
          <w:fldChar w:fldCharType="begin"/>
        </w:r>
        <w:r w:rsidR="0034634B">
          <w:rPr>
            <w:noProof/>
            <w:webHidden/>
          </w:rPr>
          <w:instrText xml:space="preserve"> PAGEREF _Toc13470678 \h </w:instrText>
        </w:r>
        <w:r w:rsidR="0034634B">
          <w:rPr>
            <w:noProof/>
            <w:webHidden/>
          </w:rPr>
        </w:r>
        <w:r w:rsidR="0034634B">
          <w:rPr>
            <w:noProof/>
            <w:webHidden/>
          </w:rPr>
          <w:fldChar w:fldCharType="separate"/>
        </w:r>
        <w:r w:rsidR="005040D9">
          <w:rPr>
            <w:noProof/>
            <w:webHidden/>
          </w:rPr>
          <w:t>34</w:t>
        </w:r>
        <w:r w:rsidR="0034634B">
          <w:rPr>
            <w:noProof/>
            <w:webHidden/>
          </w:rPr>
          <w:fldChar w:fldCharType="end"/>
        </w:r>
      </w:hyperlink>
    </w:p>
    <w:p w:rsidR="00EE1CB7" w:rsidRDefault="00A503E6">
      <w:pPr>
        <w:pStyle w:val="22"/>
        <w:rPr>
          <w:rFonts w:asciiTheme="minorHAnsi" w:eastAsiaTheme="minorEastAsia" w:hAnsiTheme="minorHAnsi" w:cstheme="minorBidi"/>
          <w:sz w:val="22"/>
          <w:szCs w:val="22"/>
          <w:lang w:val="en-GB" w:eastAsia="en-GB" w:bidi="ar-SA"/>
        </w:rPr>
      </w:pPr>
      <w:hyperlink w:anchor="_Toc13470679" w:history="1">
        <w:r w:rsidR="0034634B">
          <w:rPr>
            <w:rStyle w:val="-"/>
          </w:rPr>
          <w:t>Πληροφορίες, συμμετοχή του κοινού και πρόσβαση στη δικαιοσύνη</w:t>
        </w:r>
        <w:r w:rsidR="0034634B">
          <w:rPr>
            <w:webHidden/>
          </w:rPr>
          <w:tab/>
        </w:r>
        <w:r w:rsidR="0034634B">
          <w:rPr>
            <w:webHidden/>
          </w:rPr>
          <w:fldChar w:fldCharType="begin"/>
        </w:r>
        <w:r w:rsidR="0034634B">
          <w:rPr>
            <w:webHidden/>
          </w:rPr>
          <w:instrText xml:space="preserve"> PAGEREF _Toc13470679 \h </w:instrText>
        </w:r>
        <w:r w:rsidR="0034634B">
          <w:rPr>
            <w:webHidden/>
          </w:rPr>
        </w:r>
        <w:r w:rsidR="0034634B">
          <w:rPr>
            <w:webHidden/>
          </w:rPr>
          <w:fldChar w:fldCharType="separate"/>
        </w:r>
        <w:r w:rsidR="005040D9">
          <w:rPr>
            <w:webHidden/>
          </w:rPr>
          <w:t>34</w:t>
        </w:r>
        <w:r w:rsidR="0034634B">
          <w:rPr>
            <w:webHidden/>
          </w:rPr>
          <w:fldChar w:fldCharType="end"/>
        </w:r>
      </w:hyperlink>
    </w:p>
    <w:p w:rsidR="00EE1CB7" w:rsidRDefault="00A503E6">
      <w:pPr>
        <w:pStyle w:val="22"/>
        <w:rPr>
          <w:rFonts w:asciiTheme="minorHAnsi" w:eastAsiaTheme="minorEastAsia" w:hAnsiTheme="minorHAnsi" w:cstheme="minorBidi"/>
          <w:sz w:val="22"/>
          <w:szCs w:val="22"/>
          <w:lang w:val="en-GB" w:eastAsia="en-GB" w:bidi="ar-SA"/>
        </w:rPr>
      </w:pPr>
      <w:hyperlink w:anchor="_Toc13470680" w:history="1">
        <w:r w:rsidR="0034634B">
          <w:rPr>
            <w:rStyle w:val="-"/>
          </w:rPr>
          <w:t>Διασφάλιση συμμόρφωσης</w:t>
        </w:r>
        <w:r w:rsidR="0034634B">
          <w:rPr>
            <w:webHidden/>
          </w:rPr>
          <w:tab/>
        </w:r>
        <w:r w:rsidR="0034634B">
          <w:rPr>
            <w:webHidden/>
          </w:rPr>
          <w:fldChar w:fldCharType="begin"/>
        </w:r>
        <w:r w:rsidR="0034634B">
          <w:rPr>
            <w:webHidden/>
          </w:rPr>
          <w:instrText xml:space="preserve"> PAGEREF _Toc13470680 \h </w:instrText>
        </w:r>
        <w:r w:rsidR="0034634B">
          <w:rPr>
            <w:webHidden/>
          </w:rPr>
        </w:r>
        <w:r w:rsidR="0034634B">
          <w:rPr>
            <w:webHidden/>
          </w:rPr>
          <w:fldChar w:fldCharType="separate"/>
        </w:r>
        <w:r w:rsidR="005040D9">
          <w:rPr>
            <w:webHidden/>
          </w:rPr>
          <w:t>35</w:t>
        </w:r>
        <w:r w:rsidR="0034634B">
          <w:rPr>
            <w:webHidden/>
          </w:rPr>
          <w:fldChar w:fldCharType="end"/>
        </w:r>
      </w:hyperlink>
    </w:p>
    <w:p w:rsidR="00EE1CB7" w:rsidRDefault="00A503E6">
      <w:pPr>
        <w:pStyle w:val="22"/>
        <w:rPr>
          <w:rFonts w:asciiTheme="minorHAnsi" w:eastAsiaTheme="minorEastAsia" w:hAnsiTheme="minorHAnsi" w:cstheme="minorBidi"/>
          <w:sz w:val="22"/>
          <w:szCs w:val="22"/>
          <w:lang w:val="en-GB" w:eastAsia="en-GB" w:bidi="ar-SA"/>
        </w:rPr>
      </w:pPr>
      <w:hyperlink w:anchor="_Toc13470681" w:history="1">
        <w:r w:rsidR="0034634B">
          <w:rPr>
            <w:rStyle w:val="-"/>
          </w:rPr>
          <w:t>Αποτελεσματικότητα των περιβαλλοντικών διοικήσεων</w:t>
        </w:r>
        <w:r w:rsidR="0034634B">
          <w:rPr>
            <w:webHidden/>
          </w:rPr>
          <w:tab/>
        </w:r>
        <w:r w:rsidR="0034634B">
          <w:rPr>
            <w:webHidden/>
          </w:rPr>
          <w:fldChar w:fldCharType="begin"/>
        </w:r>
        <w:r w:rsidR="0034634B">
          <w:rPr>
            <w:webHidden/>
          </w:rPr>
          <w:instrText xml:space="preserve"> PAGEREF _Toc13470681 \h </w:instrText>
        </w:r>
        <w:r w:rsidR="0034634B">
          <w:rPr>
            <w:webHidden/>
          </w:rPr>
        </w:r>
        <w:r w:rsidR="0034634B">
          <w:rPr>
            <w:webHidden/>
          </w:rPr>
          <w:fldChar w:fldCharType="separate"/>
        </w:r>
        <w:r w:rsidR="005040D9">
          <w:rPr>
            <w:webHidden/>
          </w:rPr>
          <w:t>36</w:t>
        </w:r>
        <w:r w:rsidR="0034634B">
          <w:rPr>
            <w:webHidden/>
          </w:rPr>
          <w:fldChar w:fldCharType="end"/>
        </w:r>
      </w:hyperlink>
    </w:p>
    <w:p w:rsidR="00EE1CB7" w:rsidRDefault="00A503E6">
      <w:pPr>
        <w:pStyle w:val="22"/>
        <w:rPr>
          <w:rFonts w:asciiTheme="minorHAnsi" w:eastAsiaTheme="minorEastAsia" w:hAnsiTheme="minorHAnsi" w:cstheme="minorBidi"/>
          <w:sz w:val="22"/>
          <w:szCs w:val="22"/>
          <w:lang w:val="en-GB" w:eastAsia="en-GB" w:bidi="ar-SA"/>
        </w:rPr>
      </w:pPr>
      <w:hyperlink w:anchor="_Toc13470682" w:history="1">
        <w:r w:rsidR="0034634B">
          <w:rPr>
            <w:rStyle w:val="-"/>
          </w:rPr>
          <w:t>Διεθνείς συμφωνίες</w:t>
        </w:r>
        <w:r w:rsidR="0034634B">
          <w:rPr>
            <w:webHidden/>
          </w:rPr>
          <w:tab/>
        </w:r>
        <w:r w:rsidR="0034634B">
          <w:rPr>
            <w:webHidden/>
          </w:rPr>
          <w:fldChar w:fldCharType="begin"/>
        </w:r>
        <w:r w:rsidR="0034634B">
          <w:rPr>
            <w:webHidden/>
          </w:rPr>
          <w:instrText xml:space="preserve"> PAGEREF _Toc13470682 \h </w:instrText>
        </w:r>
        <w:r w:rsidR="0034634B">
          <w:rPr>
            <w:webHidden/>
          </w:rPr>
        </w:r>
        <w:r w:rsidR="0034634B">
          <w:rPr>
            <w:webHidden/>
          </w:rPr>
          <w:fldChar w:fldCharType="separate"/>
        </w:r>
        <w:r w:rsidR="005040D9">
          <w:rPr>
            <w:webHidden/>
          </w:rPr>
          <w:t>38</w:t>
        </w:r>
        <w:r w:rsidR="0034634B">
          <w:rPr>
            <w:webHidden/>
          </w:rPr>
          <w:fldChar w:fldCharType="end"/>
        </w:r>
      </w:hyperlink>
    </w:p>
    <w:p w:rsidR="00EE1CB7" w:rsidRDefault="00A503E6">
      <w:pPr>
        <w:pStyle w:val="22"/>
        <w:rPr>
          <w:rFonts w:asciiTheme="minorHAnsi" w:eastAsiaTheme="minorEastAsia" w:hAnsiTheme="minorHAnsi" w:cstheme="minorBidi"/>
          <w:sz w:val="22"/>
          <w:szCs w:val="22"/>
          <w:lang w:val="en-GB" w:eastAsia="en-GB" w:bidi="ar-SA"/>
        </w:rPr>
      </w:pPr>
      <w:hyperlink w:anchor="_Toc13470683" w:history="1">
        <w:r w:rsidR="0034634B">
          <w:rPr>
            <w:rStyle w:val="-"/>
          </w:rPr>
          <w:t>Βιώσιμη ανάπτυξη και υλοποίηση των Στόχων Βιώσιμης Ανάπτυξης (ΣΒΑ) του ΟΗΕ</w:t>
        </w:r>
        <w:r w:rsidR="0034634B">
          <w:rPr>
            <w:webHidden/>
          </w:rPr>
          <w:tab/>
        </w:r>
        <w:r w:rsidR="0034634B">
          <w:rPr>
            <w:webHidden/>
          </w:rPr>
          <w:fldChar w:fldCharType="begin"/>
        </w:r>
        <w:r w:rsidR="0034634B">
          <w:rPr>
            <w:webHidden/>
          </w:rPr>
          <w:instrText xml:space="preserve"> PAGEREF _Toc13470683 \h </w:instrText>
        </w:r>
        <w:r w:rsidR="0034634B">
          <w:rPr>
            <w:webHidden/>
          </w:rPr>
        </w:r>
        <w:r w:rsidR="0034634B">
          <w:rPr>
            <w:webHidden/>
          </w:rPr>
          <w:fldChar w:fldCharType="separate"/>
        </w:r>
        <w:r w:rsidR="005040D9">
          <w:rPr>
            <w:webHidden/>
          </w:rPr>
          <w:t>39</w:t>
        </w:r>
        <w:r w:rsidR="0034634B">
          <w:rPr>
            <w:webHidden/>
          </w:rPr>
          <w:fldChar w:fldCharType="end"/>
        </w:r>
      </w:hyperlink>
    </w:p>
    <w:p w:rsidR="00EE1CB7" w:rsidRDefault="0034634B">
      <w:pPr>
        <w:widowControl w:val="0"/>
        <w:spacing w:before="240"/>
        <w:ind w:left="113" w:hanging="113"/>
        <w:jc w:val="center"/>
        <w:rPr>
          <w:rFonts w:cstheme="minorHAnsi"/>
          <w:noProof/>
        </w:rPr>
      </w:pPr>
      <w:r>
        <w:rPr>
          <w:rFonts w:ascii="Calibri" w:eastAsiaTheme="minorEastAsia" w:hAnsi="Calibri" w:cstheme="minorHAnsi"/>
          <w:b/>
          <w:caps/>
          <w:noProof/>
          <w:szCs w:val="20"/>
        </w:rPr>
        <w:fldChar w:fldCharType="end"/>
      </w:r>
    </w:p>
    <w:p w:rsidR="00EE1CB7" w:rsidRDefault="0034634B">
      <w:pPr>
        <w:widowControl w:val="0"/>
        <w:rPr>
          <w:rFonts w:cs="Times New Roman"/>
          <w:noProof/>
        </w:rPr>
        <w:sectPr w:rsidR="00EE1CB7">
          <w:headerReference w:type="even" r:id="rId26"/>
          <w:headerReference w:type="default" r:id="rId27"/>
          <w:footerReference w:type="even" r:id="rId28"/>
          <w:footerReference w:type="default" r:id="rId29"/>
          <w:headerReference w:type="first" r:id="rId30"/>
          <w:footerReference w:type="first" r:id="rId31"/>
          <w:pgSz w:w="11906" w:h="16838"/>
          <w:pgMar w:top="1440" w:right="1280" w:bottom="1440" w:left="1280" w:header="708" w:footer="708" w:gutter="0"/>
          <w:cols w:space="360"/>
          <w:titlePg/>
          <w:docGrid w:linePitch="360"/>
        </w:sectPr>
      </w:pPr>
      <w:r>
        <w:rPr>
          <w:noProof/>
        </w:rPr>
        <w:br w:type="page"/>
      </w:r>
    </w:p>
    <w:p w:rsidR="00EE1CB7" w:rsidRDefault="0034634B">
      <w:pPr>
        <w:widowControl w:val="0"/>
        <w:spacing w:after="0"/>
        <w:ind w:left="360"/>
        <w:jc w:val="center"/>
        <w:outlineLvl w:val="0"/>
        <w:rPr>
          <w:rFonts w:eastAsiaTheme="majorBidi" w:cstheme="majorBidi"/>
          <w:b/>
          <w:bCs/>
          <w:noProof/>
          <w:color w:val="1F497D" w:themeColor="text2"/>
          <w:sz w:val="32"/>
          <w:szCs w:val="32"/>
        </w:rPr>
      </w:pPr>
      <w:bookmarkStart w:id="5" w:name="_Toc525660364"/>
      <w:bookmarkStart w:id="6" w:name="_Toc546010"/>
      <w:bookmarkStart w:id="7" w:name="_Toc13470653"/>
      <w:r>
        <w:rPr>
          <w:rFonts w:eastAsiaTheme="majorBidi" w:cstheme="majorBidi"/>
          <w:b/>
          <w:noProof/>
          <w:color w:val="1F497D" w:themeColor="text2"/>
          <w:sz w:val="32"/>
        </w:rPr>
        <w:lastRenderedPageBreak/>
        <w:t>Σύνοψη</w:t>
      </w:r>
      <w:bookmarkEnd w:id="4"/>
      <w:bookmarkEnd w:id="5"/>
      <w:bookmarkEnd w:id="6"/>
      <w:bookmarkEnd w:id="7"/>
    </w:p>
    <w:p w:rsidR="00EE1CB7" w:rsidRDefault="00EE1CB7">
      <w:pPr>
        <w:rPr>
          <w:noProof/>
        </w:rPr>
      </w:pPr>
    </w:p>
    <w:p w:rsidR="00EE1CB7" w:rsidRDefault="00EE1CB7">
      <w:pPr>
        <w:widowControl w:val="0"/>
        <w:rPr>
          <w:rFonts w:cs="Times New Roman"/>
          <w:noProof/>
        </w:rPr>
        <w:sectPr w:rsidR="00EE1CB7">
          <w:headerReference w:type="even" r:id="rId32"/>
          <w:headerReference w:type="default" r:id="rId33"/>
          <w:footerReference w:type="even" r:id="rId34"/>
          <w:footerReference w:type="default" r:id="rId35"/>
          <w:headerReference w:type="first" r:id="rId36"/>
          <w:footerReference w:type="first" r:id="rId37"/>
          <w:type w:val="continuous"/>
          <w:pgSz w:w="11906" w:h="16838"/>
          <w:pgMar w:top="1440" w:right="1280" w:bottom="1440" w:left="1280" w:header="708" w:footer="708" w:gutter="0"/>
          <w:cols w:space="360"/>
          <w:docGrid w:linePitch="360"/>
        </w:sectPr>
      </w:pPr>
    </w:p>
    <w:p w:rsidR="00EE1CB7" w:rsidRDefault="0034634B">
      <w:pPr>
        <w:rPr>
          <w:rFonts w:ascii="Segoe UI,Times New Roman" w:eastAsia="Segoe UI,Times New Roman" w:hAnsi="Segoe UI,Times New Roman" w:cs="Segoe UI,Times New Roman"/>
          <w:b/>
          <w:bCs/>
          <w:noProof/>
          <w:color w:val="1F497D" w:themeColor="text2"/>
          <w:sz w:val="12"/>
          <w:szCs w:val="12"/>
        </w:rPr>
      </w:pPr>
      <w:r>
        <w:rPr>
          <w:b/>
          <w:noProof/>
          <w:color w:val="1F497D" w:themeColor="text2"/>
        </w:rPr>
        <w:t>Η Ελλάδα και η Επισκόπηση της εφαρμογής της περιβαλλοντικής πολιτικής (ΕΕΠΠ) </w:t>
      </w:r>
    </w:p>
    <w:p w:rsidR="00EE1CB7" w:rsidRDefault="0034634B">
      <w:pPr>
        <w:rPr>
          <w:noProof/>
        </w:rPr>
      </w:pPr>
      <w:r>
        <w:rPr>
          <w:noProof/>
        </w:rPr>
        <w:t>Στην ΕΕΠΠ του 2017, οι βασικές προκλήσεις που προσδιορίστηκαν για την Ελλάδα όσον αφορά την εφαρμογή της περιβαλλοντικής πολιτικής και νομοθεσίας της ΕΕ ήταν οι εξής: </w:t>
      </w:r>
    </w:p>
    <w:p w:rsidR="00EE1CB7" w:rsidRDefault="0034634B">
      <w:pPr>
        <w:pStyle w:val="a9"/>
        <w:numPr>
          <w:ilvl w:val="0"/>
          <w:numId w:val="21"/>
        </w:numPr>
        <w:rPr>
          <w:noProof/>
        </w:rPr>
      </w:pPr>
      <w:r>
        <w:rPr>
          <w:noProof/>
        </w:rPr>
        <w:t xml:space="preserve">αντιμετώπιση των </w:t>
      </w:r>
      <w:r>
        <w:rPr>
          <w:b/>
          <w:noProof/>
        </w:rPr>
        <w:t>προβλημάτων στον τομέα της διαχείρισης αποβλήτων</w:t>
      </w:r>
      <w:r>
        <w:rPr>
          <w:noProof/>
        </w:rPr>
        <w:t xml:space="preserve"> και, ειδικότερα, κλείσιμο των παράνομων χώρων υγειονομικής ταφής και επεξεργασία των επικίνδυνων αποβλήτων·</w:t>
      </w:r>
    </w:p>
    <w:p w:rsidR="00EE1CB7" w:rsidRDefault="0034634B">
      <w:pPr>
        <w:pStyle w:val="a9"/>
        <w:numPr>
          <w:ilvl w:val="0"/>
          <w:numId w:val="21"/>
        </w:numPr>
        <w:rPr>
          <w:noProof/>
        </w:rPr>
      </w:pPr>
      <w:r>
        <w:rPr>
          <w:b/>
          <w:noProof/>
        </w:rPr>
        <w:t>βελτίωση της προστασίας του φυσικού περιβάλλοντος</w:t>
      </w:r>
      <w:r>
        <w:rPr>
          <w:noProof/>
        </w:rPr>
        <w:t xml:space="preserve">, με τη θέσπιση αποτελεσματικού εθνικού συστήματος προστασίας, καλύτερη ενημέρωση και δημιουργία των κατάλληλων κινήτρων για βιώσιμες επενδύσεις· και </w:t>
      </w:r>
    </w:p>
    <w:p w:rsidR="00EE1CB7" w:rsidRDefault="0034634B">
      <w:pPr>
        <w:pStyle w:val="a9"/>
        <w:numPr>
          <w:ilvl w:val="0"/>
          <w:numId w:val="21"/>
        </w:numPr>
        <w:rPr>
          <w:noProof/>
        </w:rPr>
      </w:pPr>
      <w:r>
        <w:rPr>
          <w:noProof/>
        </w:rPr>
        <w:t xml:space="preserve">ολοκλήρωση της </w:t>
      </w:r>
      <w:r>
        <w:rPr>
          <w:b/>
          <w:noProof/>
        </w:rPr>
        <w:t>εφαρμογής της οδηγίας για την επεξεργασία των αστικών λυμάτων</w:t>
      </w:r>
      <w:r>
        <w:rPr>
          <w:noProof/>
        </w:rPr>
        <w:t xml:space="preserve">. </w:t>
      </w:r>
    </w:p>
    <w:p w:rsidR="00EE1CB7" w:rsidRDefault="0034634B">
      <w:pPr>
        <w:rPr>
          <w:noProof/>
        </w:rPr>
      </w:pPr>
      <w:r>
        <w:rPr>
          <w:noProof/>
        </w:rPr>
        <w:t>Οι πολύπλοκες διοικητικές δομές και διαδικασίες στην Ελλάδα, οι οποίες μπορεί να προκαλέσουν σημαντικές καθυστερήσεις και σημεία συμφόρησης, αποτελούν ενίοτε το βασικό εμπόδιο για την εφαρμογή της περιβαλλοντικής νομοθεσίας.</w:t>
      </w:r>
    </w:p>
    <w:p w:rsidR="00EE1CB7" w:rsidRDefault="0034634B">
      <w:pPr>
        <w:rPr>
          <w:noProof/>
        </w:rPr>
      </w:pPr>
      <w:r>
        <w:rPr>
          <w:noProof/>
        </w:rPr>
        <w:t xml:space="preserve">Μετά τη δημοσίευση της ΕΕΠΠ του 2017, η Ελλάδα δεν έχει ακόμη διοργανώσει εθνικό διάλογο για την ΕΕΠΠ, ο οποίος θα συνέβαλε στην αντιμετώπιση των ως άνω προκλήσεων. </w:t>
      </w:r>
    </w:p>
    <w:p w:rsidR="00EE1CB7" w:rsidRDefault="0034634B">
      <w:pPr>
        <w:rPr>
          <w:rFonts w:ascii="Segoe UI,Times New Roman" w:eastAsia="Segoe UI,Times New Roman" w:hAnsi="Segoe UI,Times New Roman" w:cs="Segoe UI,Times New Roman"/>
          <w:b/>
          <w:bCs/>
          <w:noProof/>
          <w:color w:val="1F497D" w:themeColor="text2"/>
          <w:sz w:val="12"/>
          <w:szCs w:val="12"/>
        </w:rPr>
      </w:pPr>
      <w:r>
        <w:rPr>
          <w:b/>
          <w:noProof/>
          <w:color w:val="1F497D" w:themeColor="text2"/>
        </w:rPr>
        <w:t>Πρόοδος όσον αφορά την αντιμετώπιση των προκλήσεων από την ΕΕΠΠ του 2017 </w:t>
      </w:r>
    </w:p>
    <w:p w:rsidR="00EE1CB7" w:rsidRDefault="0034634B">
      <w:pPr>
        <w:rPr>
          <w:rFonts w:ascii="Segoe UI,Times New Roman" w:eastAsia="Segoe UI,Times New Roman" w:hAnsi="Segoe UI,Times New Roman" w:cs="Segoe UI,Times New Roman"/>
          <w:noProof/>
          <w:sz w:val="12"/>
          <w:szCs w:val="12"/>
        </w:rPr>
      </w:pPr>
      <w:r>
        <w:rPr>
          <w:noProof/>
        </w:rPr>
        <w:t xml:space="preserve">Σύμφωνα με την </w:t>
      </w:r>
      <w:r>
        <w:rPr>
          <w:b/>
          <w:noProof/>
        </w:rPr>
        <w:t>ΕΕΠΠ του 2019</w:t>
      </w:r>
      <w:r>
        <w:rPr>
          <w:noProof/>
        </w:rPr>
        <w:t>, έχει σημειωθεί</w:t>
      </w:r>
      <w:r>
        <w:rPr>
          <w:b/>
          <w:noProof/>
        </w:rPr>
        <w:t xml:space="preserve"> κάποια πρόοδος</w:t>
      </w:r>
      <w:r>
        <w:rPr>
          <w:noProof/>
        </w:rPr>
        <w:t xml:space="preserve"> ως προς </w:t>
      </w:r>
      <w:r>
        <w:rPr>
          <w:b/>
          <w:noProof/>
        </w:rPr>
        <w:t xml:space="preserve">τη διαχείριση αποβλήτων, </w:t>
      </w:r>
      <w:r>
        <w:rPr>
          <w:noProof/>
        </w:rPr>
        <w:t>καθώς πλέον εφαρμόζεται το στρατηγικό πλαίσιο διαχείρισης αποβλήτων και έχουν εγκριθεί τα εθνικά και περιφερειακά σχέδια διαχείρισης αποβλήτων. Επιπλέον, ο αριθμός παράνομων χώρων υγειονομικής ταφής που εξακολουθούν να βρίσκονται σε λειτουργία ή χρήζουν αποκατάστασης μειώθηκε με την πάροδο των ετών. Ωστόσο, η παύση της λειτουργίας των εναπομενόντων χώρων υγειονομικής ταφής θα είναι ιδιαίτερα δυσχερής εάν δεν κατασκευαστούν νέες εγκαταστάσεις. Η Ελλάδα πρέπει να καταβάλει μείζονα προσπάθεια, ώστε να δημιουργήσει επαρκές δίκτυο εγκαταστάσεων για την αποτελεσματική διαχείριση του συνόλου των επικίνδυνων αποβλήτων που παράγονται στη χώρα. Έχει σημειωθεί κάποια πρόοδος ως προς τα νομικά και θεσμικά βήματα που απαιτούνται για την αύξηση της ανακύκλωσης αποβλήτων και την επέκταση των προγραμμάτων διευρυμένης ευθύνης του παραγωγού (ΔΕΠ). Εντούτοις, σύμφωνα με την «έκθεση έγκαιρης προειδοποίησης» της Επιτροπής για το 2018, η Ελλάδα διατρέχει τον κίνδυνο να μην εκπληρώσει τον στόχο για αύξηση του ποσοστού ανακύκλωσης αστικών αποβλήτων σε 50 % μέχρι το 2020.</w:t>
      </w:r>
    </w:p>
    <w:p w:rsidR="00EE1CB7" w:rsidRDefault="0034634B">
      <w:pPr>
        <w:rPr>
          <w:noProof/>
        </w:rPr>
      </w:pPr>
      <w:r>
        <w:rPr>
          <w:noProof/>
        </w:rPr>
        <w:t xml:space="preserve">Όσον αφορά την </w:t>
      </w:r>
      <w:r>
        <w:rPr>
          <w:b/>
          <w:noProof/>
        </w:rPr>
        <w:t>προστασία του φυσικού περιβάλλοντος</w:t>
      </w:r>
      <w:r>
        <w:rPr>
          <w:noProof/>
        </w:rPr>
        <w:t>, πρόσφατα η Ελλάδα επέκτεινε σημαντικά το θαλάσσιο τμήμα του ελληνικού δικτύου Natura 2000. Ανέπτυξε νομοθεσία για τη θέσπιση φορέων διαχείρισης των τόπων που έχουν ενταχθεί στο δίκτυο Natura 2000 και ξεκίνησε να εφαρμόζει πλήρες ολοκληρωμένο έργο LIFE για τη φύση. Αυτά τα θετικά βήματα θα πρέπει να ακολουθηθούν από συγκεκριμένη επιτόπια δράση για την αποτελεσματική αντιμετώπιση των προκλήσεων που προσδιορίστηκαν στην προηγούμενη έκθεση.</w:t>
      </w:r>
    </w:p>
    <w:p w:rsidR="00EE1CB7" w:rsidRDefault="0034634B">
      <w:pPr>
        <w:rPr>
          <w:noProof/>
        </w:rPr>
      </w:pPr>
      <w:r>
        <w:rPr>
          <w:noProof/>
        </w:rPr>
        <w:t>Όσον αφορά την επεξεργασία</w:t>
      </w:r>
      <w:r>
        <w:rPr>
          <w:b/>
          <w:noProof/>
        </w:rPr>
        <w:t xml:space="preserve"> των αστικών λυμάτων</w:t>
      </w:r>
      <w:r>
        <w:rPr>
          <w:noProof/>
        </w:rPr>
        <w:t>,</w:t>
      </w:r>
      <w:r>
        <w:rPr>
          <w:b/>
          <w:noProof/>
        </w:rPr>
        <w:t xml:space="preserve"> </w:t>
      </w:r>
      <w:r>
        <w:rPr>
          <w:noProof/>
        </w:rPr>
        <w:t>έχουν σημειωθεί θετικά βήματα, όπως η συστηματική αξιολόγηση και η στρατηγική αναδιοργάνωση των επενδυτικών αναγκών της χώρας. Οι εν λόγω προσπάθειες αναμένεται να οδηγήσουν σε ταχεία δημιουργία των απαραίτητων υποδομών, ιδίως στους οικισμούς (ήτοι, πληθυσμιακά κέντρα ή τόποι οικονομικής δραστηριότητας) κατά των οποίων έχουν κινηθεί διαδικασίες επί παραβάσει.</w:t>
      </w:r>
    </w:p>
    <w:p w:rsidR="00EE1CB7" w:rsidRDefault="0034634B">
      <w:pPr>
        <w:rPr>
          <w:rFonts w:ascii="Segoe UI,Times New Roman" w:eastAsia="Segoe UI,Times New Roman" w:hAnsi="Segoe UI,Times New Roman" w:cs="Segoe UI,Times New Roman"/>
          <w:b/>
          <w:bCs/>
          <w:noProof/>
          <w:color w:val="1F497D" w:themeColor="text2"/>
        </w:rPr>
      </w:pPr>
      <w:r>
        <w:rPr>
          <w:b/>
          <w:noProof/>
          <w:color w:val="1F497D" w:themeColor="text2"/>
        </w:rPr>
        <w:t>Παραδείγματα ορθών πρακτικών </w:t>
      </w:r>
    </w:p>
    <w:p w:rsidR="00EE1CB7" w:rsidRDefault="0034634B">
      <w:pPr>
        <w:pStyle w:val="SuggActions"/>
      </w:pPr>
      <w:r>
        <w:t xml:space="preserve">Στα συγκεκριμένα μέτρα για μια ολοκληρωμένη στρατηγική πολιτικής για την </w:t>
      </w:r>
      <w:r>
        <w:rPr>
          <w:b/>
        </w:rPr>
        <w:t>κυκλική οικονομία</w:t>
      </w:r>
      <w:r>
        <w:t xml:space="preserve"> συγκαταλέγονται: i) πρόσφατα θεσπισθέν εθνικό σχέδιο δράσης για την κυκλική οικονομία, στο οποίο προβλέπονται βραχυπρόθεσμα μέτρα και μακροπρόθεσμες προτεραιότητες· ii) ο νόμος του 2017 για την ανακύκλωση, ο οποίος προσαρμόζει την ισχύουσα νομοθεσία στις αρχές της κυκλικής οικονομίας· και iii) φόρουμ για την κυκλική οικονομία, το οποίο ενθαρρύνει τον διάλογο μεταξύ των σχετικών ενδιαφερόμενων μερών για την ενίσχυση της ανάπτυξης επιχειρηματικών μοντέλων και καινοτομιών προσαρμοσμένων στην κυκλική οικονομία.</w:t>
      </w:r>
    </w:p>
    <w:p w:rsidR="00EE1CB7" w:rsidRDefault="0034634B">
      <w:pPr>
        <w:pStyle w:val="SuggActions"/>
        <w:rPr>
          <w:rFonts w:asciiTheme="minorEastAsia" w:hAnsiTheme="minorEastAsia" w:cstheme="minorEastAsia"/>
        </w:rPr>
      </w:pPr>
      <w:r>
        <w:t>Τα τοπικά σχέδια διαχείρισης (αστικών) αποβλήτων, που ενσωματώθηκαν στα περιφερειακά σχέδια, θέτουν ως βασικό στόχο τη χωριστή συλλογή των βιολογικών αποβλήτων. Η Ελλάδα έχει προγραμματίσει τη διάθεση σημαντικού ποσοστού των ενωσιακών κονδυλίων σε μέτρα και υποδομές διαχείρισης αποβλήτων, ιδίως δε σε ολοκληρωμένες εγκαταστάσεις διαχείρισης αποβλήτων και σε προγράμματα διαχωρισμού στην πηγή.</w:t>
      </w:r>
    </w:p>
    <w:p w:rsidR="00EE1CB7" w:rsidRDefault="0034634B">
      <w:pPr>
        <w:pStyle w:val="SuggActions"/>
        <w:rPr>
          <w:rFonts w:eastAsiaTheme="minorEastAsia"/>
          <w:color w:val="000000"/>
        </w:rPr>
      </w:pPr>
      <w:r>
        <w:rPr>
          <w:rFonts w:eastAsiaTheme="minorEastAsia"/>
          <w:color w:val="000000"/>
        </w:rPr>
        <w:t>Διατίθενται κίνητρα για την ενθάρρυνση της αγοράς αυτοκινήτων με χαμηλότερες εκπομπές CO</w:t>
      </w:r>
      <w:r>
        <w:rPr>
          <w:rFonts w:eastAsiaTheme="minorEastAsia"/>
          <w:color w:val="000000"/>
          <w:vertAlign w:val="subscript"/>
        </w:rPr>
        <w:t>2</w:t>
      </w:r>
      <w:r>
        <w:rPr>
          <w:rFonts w:eastAsiaTheme="minorEastAsia"/>
          <w:color w:val="000000"/>
        </w:rPr>
        <w:t xml:space="preserve"> και τα καινούρια οχήματα που αγοράζονται </w:t>
      </w:r>
      <w:r>
        <w:rPr>
          <w:rFonts w:eastAsiaTheme="minorEastAsia"/>
          <w:color w:val="000000"/>
        </w:rPr>
        <w:lastRenderedPageBreak/>
        <w:t>στην Ελλάδα συγκαταλέγονται μεταξύ των πλέον φιλικών προς το περιβάλλον στην ΕΕ.</w:t>
      </w:r>
    </w:p>
    <w:p w:rsidR="00EE1CB7" w:rsidRDefault="0034634B">
      <w:pPr>
        <w:pStyle w:val="SuggActions"/>
        <w:rPr>
          <w:rFonts w:cstheme="minorEastAsia"/>
        </w:rPr>
      </w:pPr>
      <w:r>
        <w:t>Όσον αφορά την περιβαλλοντική διακυβέρνηση, το Συμβούλιο της Επικρατείας ακολουθεί προοδευτική προσέγγιση για την πρόσβαση στη δικαιοσύνη για περιβαλλοντικά θέματα. Επιπλέον, όλες οι διοικητικές διαδικασίες, συμπεριλαμβανομένων αυτών που σχετίζονται με το περιβάλλον, έχουν καταστεί σημαντικά πιο διαφανείς χάρη στο πρόγραμμα διαφάνειας «Διαύγεια».</w:t>
      </w:r>
    </w:p>
    <w:p w:rsidR="00EE1CB7" w:rsidRDefault="00EE1CB7">
      <w:pPr>
        <w:pStyle w:val="SuggActions"/>
        <w:numPr>
          <w:ilvl w:val="0"/>
          <w:numId w:val="0"/>
        </w:numPr>
        <w:ind w:left="357"/>
      </w:pPr>
    </w:p>
    <w:p w:rsidR="0034634B" w:rsidRDefault="0034634B">
      <w:pPr>
        <w:pStyle w:val="SuggActions"/>
        <w:numPr>
          <w:ilvl w:val="0"/>
          <w:numId w:val="0"/>
        </w:numPr>
        <w:ind w:left="357"/>
      </w:pPr>
    </w:p>
    <w:p w:rsidR="0034634B" w:rsidRDefault="0034634B">
      <w:pPr>
        <w:pStyle w:val="SuggActions"/>
        <w:numPr>
          <w:ilvl w:val="0"/>
          <w:numId w:val="0"/>
        </w:numPr>
        <w:ind w:left="357"/>
      </w:pPr>
    </w:p>
    <w:p w:rsidR="0034634B" w:rsidRDefault="0034634B">
      <w:pPr>
        <w:pStyle w:val="SuggActions"/>
        <w:numPr>
          <w:ilvl w:val="0"/>
          <w:numId w:val="0"/>
        </w:numPr>
        <w:ind w:left="357"/>
      </w:pPr>
    </w:p>
    <w:p w:rsidR="0034634B" w:rsidRDefault="0034634B">
      <w:pPr>
        <w:pStyle w:val="SuggActions"/>
        <w:numPr>
          <w:ilvl w:val="0"/>
          <w:numId w:val="0"/>
        </w:numPr>
        <w:ind w:left="357"/>
      </w:pPr>
    </w:p>
    <w:p w:rsidR="0034634B" w:rsidRDefault="0034634B">
      <w:pPr>
        <w:pStyle w:val="SuggActions"/>
        <w:numPr>
          <w:ilvl w:val="0"/>
          <w:numId w:val="0"/>
        </w:numPr>
        <w:ind w:left="357"/>
      </w:pPr>
    </w:p>
    <w:p w:rsidR="0034634B" w:rsidRDefault="0034634B">
      <w:pPr>
        <w:pStyle w:val="SuggActions"/>
        <w:numPr>
          <w:ilvl w:val="0"/>
          <w:numId w:val="0"/>
        </w:numPr>
        <w:ind w:left="357"/>
      </w:pPr>
    </w:p>
    <w:p w:rsidR="0034634B" w:rsidRDefault="0034634B">
      <w:pPr>
        <w:pStyle w:val="SuggActions"/>
        <w:numPr>
          <w:ilvl w:val="0"/>
          <w:numId w:val="0"/>
        </w:numPr>
        <w:ind w:left="357"/>
      </w:pPr>
    </w:p>
    <w:p w:rsidR="0034634B" w:rsidRDefault="0034634B">
      <w:pPr>
        <w:pStyle w:val="SuggActions"/>
        <w:numPr>
          <w:ilvl w:val="0"/>
          <w:numId w:val="0"/>
        </w:numPr>
        <w:ind w:left="357"/>
      </w:pPr>
    </w:p>
    <w:p w:rsidR="0034634B" w:rsidRDefault="0034634B">
      <w:pPr>
        <w:pStyle w:val="SuggActions"/>
        <w:numPr>
          <w:ilvl w:val="0"/>
          <w:numId w:val="0"/>
        </w:numPr>
        <w:ind w:left="357"/>
      </w:pPr>
    </w:p>
    <w:p w:rsidR="0034634B" w:rsidRDefault="0034634B">
      <w:pPr>
        <w:pStyle w:val="SuggActions"/>
        <w:numPr>
          <w:ilvl w:val="0"/>
          <w:numId w:val="0"/>
        </w:numPr>
        <w:ind w:left="357"/>
        <w:sectPr w:rsidR="0034634B">
          <w:headerReference w:type="even" r:id="rId38"/>
          <w:headerReference w:type="default" r:id="rId39"/>
          <w:footerReference w:type="even" r:id="rId40"/>
          <w:footerReference w:type="default" r:id="rId41"/>
          <w:headerReference w:type="first" r:id="rId42"/>
          <w:footerReference w:type="first" r:id="rId43"/>
          <w:type w:val="continuous"/>
          <w:pgSz w:w="11906" w:h="16838"/>
          <w:pgMar w:top="1440" w:right="1280" w:bottom="1440" w:left="1280" w:header="708" w:footer="708" w:gutter="0"/>
          <w:pgNumType w:start="4"/>
          <w:cols w:num="2" w:space="360"/>
          <w:docGrid w:linePitch="360"/>
        </w:sectPr>
      </w:pPr>
    </w:p>
    <w:p w:rsidR="00EE1CB7" w:rsidRDefault="00EE1CB7">
      <w:pPr>
        <w:widowControl w:val="0"/>
        <w:contextualSpacing/>
        <w:rPr>
          <w:rFonts w:cs="Times New Roman"/>
          <w:noProof/>
        </w:rPr>
        <w:sectPr w:rsidR="00EE1CB7">
          <w:headerReference w:type="even" r:id="rId44"/>
          <w:headerReference w:type="default" r:id="rId45"/>
          <w:footerReference w:type="even" r:id="rId46"/>
          <w:footerReference w:type="default" r:id="rId47"/>
          <w:headerReference w:type="first" r:id="rId48"/>
          <w:footerReference w:type="first" r:id="rId49"/>
          <w:type w:val="continuous"/>
          <w:pgSz w:w="11906" w:h="16838" w:code="9"/>
          <w:pgMar w:top="1440" w:right="1080" w:bottom="1440" w:left="1080" w:header="709" w:footer="709" w:gutter="0"/>
          <w:pgNumType w:start="4"/>
          <w:cols w:space="360"/>
          <w:docGrid w:linePitch="360"/>
        </w:sectPr>
      </w:pPr>
    </w:p>
    <w:p w:rsidR="00EE1CB7" w:rsidRDefault="00EE1CB7">
      <w:pPr>
        <w:widowControl w:val="0"/>
        <w:rPr>
          <w:rFonts w:cs="Times New Roman"/>
          <w:noProof/>
        </w:rPr>
        <w:sectPr w:rsidR="00EE1CB7">
          <w:headerReference w:type="even" r:id="rId50"/>
          <w:headerReference w:type="default" r:id="rId51"/>
          <w:footerReference w:type="even" r:id="rId52"/>
          <w:footerReference w:type="default" r:id="rId53"/>
          <w:headerReference w:type="first" r:id="rId54"/>
          <w:footerReference w:type="first" r:id="rId55"/>
          <w:pgSz w:w="11906" w:h="16838" w:code="9"/>
          <w:pgMar w:top="1440" w:right="1080" w:bottom="1440" w:left="1080" w:header="709" w:footer="709" w:gutter="0"/>
          <w:pgNumType w:start="4"/>
          <w:cols w:space="360"/>
          <w:docGrid w:linePitch="360"/>
        </w:sectPr>
      </w:pPr>
    </w:p>
    <w:p w:rsidR="00EE1CB7" w:rsidRDefault="0034634B">
      <w:pPr>
        <w:widowControl w:val="0"/>
        <w:spacing w:after="0"/>
        <w:ind w:left="360"/>
        <w:jc w:val="center"/>
        <w:outlineLvl w:val="0"/>
        <w:rPr>
          <w:rFonts w:eastAsiaTheme="majorBidi" w:cstheme="majorBidi"/>
          <w:b/>
          <w:bCs/>
          <w:noProof/>
          <w:color w:val="1F497D" w:themeColor="text2"/>
          <w:sz w:val="32"/>
          <w:szCs w:val="32"/>
        </w:rPr>
      </w:pPr>
      <w:bookmarkStart w:id="8" w:name="_Toc433296150"/>
      <w:bookmarkStart w:id="9" w:name="_Toc525660365"/>
      <w:bookmarkStart w:id="10" w:name="_Toc546011"/>
      <w:bookmarkStart w:id="11" w:name="_Toc13470654"/>
      <w:r>
        <w:rPr>
          <w:rFonts w:eastAsiaTheme="majorBidi" w:cstheme="majorBidi"/>
          <w:b/>
          <w:noProof/>
          <w:color w:val="1F497D" w:themeColor="text2"/>
          <w:sz w:val="32"/>
        </w:rPr>
        <w:t>Μέρος I: Θεματικοί τομείς</w:t>
      </w:r>
      <w:bookmarkEnd w:id="8"/>
      <w:bookmarkEnd w:id="9"/>
      <w:bookmarkEnd w:id="10"/>
      <w:bookmarkEnd w:id="11"/>
    </w:p>
    <w:p w:rsidR="00EE1CB7" w:rsidRDefault="00EE1CB7">
      <w:pPr>
        <w:widowControl w:val="0"/>
        <w:rPr>
          <w:rFonts w:cs="Times New Roman"/>
          <w:noProof/>
        </w:rPr>
      </w:pPr>
    </w:p>
    <w:p w:rsidR="00EE1CB7" w:rsidRDefault="0034634B">
      <w:pPr>
        <w:widowControl w:val="0"/>
        <w:numPr>
          <w:ilvl w:val="0"/>
          <w:numId w:val="18"/>
        </w:numPr>
        <w:spacing w:after="0"/>
        <w:jc w:val="center"/>
        <w:outlineLvl w:val="0"/>
        <w:rPr>
          <w:rFonts w:eastAsiaTheme="majorBidi" w:cstheme="majorBidi"/>
          <w:b/>
          <w:bCs/>
          <w:noProof/>
          <w:color w:val="1F497D" w:themeColor="text2"/>
          <w:sz w:val="32"/>
          <w:szCs w:val="32"/>
        </w:rPr>
      </w:pPr>
      <w:bookmarkStart w:id="12" w:name="_Toc433296151"/>
      <w:bookmarkStart w:id="13" w:name="_Toc525660366"/>
      <w:bookmarkStart w:id="14" w:name="_Toc546012"/>
      <w:bookmarkStart w:id="15" w:name="_Toc13470655"/>
      <w:r>
        <w:rPr>
          <w:rFonts w:eastAsiaTheme="majorBidi" w:cstheme="majorBidi"/>
          <w:b/>
          <w:noProof/>
          <w:color w:val="1F497D" w:themeColor="text2"/>
          <w:sz w:val="32"/>
        </w:rPr>
        <w:t>Μετατροπή της ΕΕ σε μια κυκλική, πράσινη και ανταγωνιστική οικονομία χαμηλών ανθρακούχων εκπομπών και αποδοτικής χρήσης των πόρων</w:t>
      </w:r>
      <w:bookmarkEnd w:id="12"/>
      <w:bookmarkEnd w:id="13"/>
      <w:bookmarkEnd w:id="14"/>
      <w:bookmarkEnd w:id="15"/>
    </w:p>
    <w:p w:rsidR="00EE1CB7" w:rsidRDefault="00EE1CB7">
      <w:pPr>
        <w:widowControl w:val="0"/>
        <w:rPr>
          <w:rFonts w:cs="Times New Roman"/>
          <w:noProof/>
        </w:rPr>
      </w:pPr>
    </w:p>
    <w:p w:rsidR="00EE1CB7" w:rsidRDefault="00EE1CB7">
      <w:pPr>
        <w:widowControl w:val="0"/>
        <w:rPr>
          <w:rFonts w:cs="Times New Roman"/>
          <w:noProof/>
        </w:rPr>
        <w:sectPr w:rsidR="00EE1CB7">
          <w:headerReference w:type="even" r:id="rId56"/>
          <w:headerReference w:type="default" r:id="rId57"/>
          <w:footerReference w:type="even" r:id="rId58"/>
          <w:footerReference w:type="default" r:id="rId59"/>
          <w:headerReference w:type="first" r:id="rId60"/>
          <w:footerReference w:type="first" r:id="rId61"/>
          <w:type w:val="continuous"/>
          <w:pgSz w:w="11906" w:h="16838"/>
          <w:pgMar w:top="1440" w:right="1080" w:bottom="1440" w:left="1080" w:header="708" w:footer="708" w:gutter="0"/>
          <w:pgNumType w:start="5"/>
          <w:cols w:space="708"/>
          <w:docGrid w:linePitch="360"/>
        </w:sectPr>
      </w:pPr>
    </w:p>
    <w:p w:rsidR="00EE1CB7" w:rsidRDefault="0034634B">
      <w:pPr>
        <w:pStyle w:val="21"/>
        <w:rPr>
          <w:noProof/>
        </w:rPr>
      </w:pPr>
      <w:bookmarkStart w:id="16" w:name="_Toc509391834"/>
      <w:bookmarkStart w:id="17" w:name="_Toc525660367"/>
      <w:bookmarkStart w:id="18" w:name="_Toc546013"/>
      <w:bookmarkStart w:id="19" w:name="_Toc13470656"/>
      <w:r>
        <w:rPr>
          <w:noProof/>
        </w:rPr>
        <w:t>Μέτρα για τη μετάβαση σε μια κυκλική οικονομία</w:t>
      </w:r>
      <w:bookmarkEnd w:id="16"/>
      <w:bookmarkEnd w:id="17"/>
      <w:bookmarkEnd w:id="18"/>
      <w:bookmarkEnd w:id="19"/>
    </w:p>
    <w:p w:rsidR="00EE1CB7" w:rsidRDefault="0034634B">
      <w:pPr>
        <w:widowControl w:val="0"/>
        <w:shd w:val="clear" w:color="auto" w:fill="4F81BD" w:themeFill="accent1"/>
        <w:suppressAutoHyphens/>
        <w:spacing w:after="240"/>
        <w:rPr>
          <w:noProof/>
          <w:color w:val="FFFFFF" w:themeColor="background1"/>
        </w:rPr>
      </w:pPr>
      <w:r>
        <w:rPr>
          <w:noProof/>
          <w:color w:val="FFFFFF" w:themeColor="background1"/>
        </w:rPr>
        <w:t>Στο σχέδιο δράσης για την κυκλική οικονομία υπογραμμίζεται η ανάγκη μετάβασης σε μια «κυκλική» οικονομία που θα βασίζεται στον κύκλο ζωής, στο πλαίσιο της οποίας γίνεται επαναχρησιμοποίηση των πόρων σε όσο το δυνατόν μεγαλύτερο βαθμό και τα υπολειμματικά απόβλητα καθίστανται σχεδόν μηδενικά. Ο στόχος αυτός μπορεί να επιτευχθεί πιο εύκολα με την ανάπτυξη και την παροχή πρόσβασης σε καινοτόμα χρηματοδοτικά μέσα και σε χρηματοδότηση για την οικοκαινοτομία.</w:t>
      </w:r>
    </w:p>
    <w:p w:rsidR="00EE1CB7" w:rsidRDefault="0034634B">
      <w:pPr>
        <w:rPr>
          <w:noProof/>
        </w:rPr>
      </w:pPr>
      <w:r>
        <w:rPr>
          <w:noProof/>
        </w:rPr>
        <w:t>Μετά την έγκριση του σχεδίου δράσης για την κυκλική οικονομία το 2015 και τη σύσταση σχετικής πλατφόρμας για τα ενδιαφερόμενα μέρη το 2017, η Ευρωπαϊκή Επιτροπή ενέκρινε νέα δέσμη παραδοτέων τον Ιανουάριο του 2018</w:t>
      </w:r>
      <w:r>
        <w:rPr>
          <w:rStyle w:val="ae"/>
          <w:noProof/>
        </w:rPr>
        <w:footnoteReference w:id="2"/>
      </w:r>
      <w:r>
        <w:rPr>
          <w:noProof/>
        </w:rPr>
        <w:t>. Σε αυτήν περιλαμβάνονταν πρόσθετες πρωτοβουλίες, όπως: i) στρατηγική της ΕΕ για τις πλαστικές ύλες· ii) ανακοίνωση για τον τρόπο χειρισμού της αλληλεπίδρασης μεταξύ της νομοθεσίας για τα χημικά, τα προϊόντα και τα απόβλητα· iii) έκθεση σχετικά με τις κρίσιμες πρώτες ύλες· και iv) πλαίσιο για την παρακολούθηση της προόδου προς την κατεύθυνση της κυκλικής οικονομίας</w:t>
      </w:r>
      <w:r>
        <w:rPr>
          <w:rStyle w:val="ae"/>
          <w:noProof/>
        </w:rPr>
        <w:footnoteReference w:id="3"/>
      </w:r>
      <w:r>
        <w:rPr>
          <w:noProof/>
        </w:rPr>
        <w:t>.</w:t>
      </w:r>
    </w:p>
    <w:p w:rsidR="00EE1CB7" w:rsidRDefault="0034634B">
      <w:pPr>
        <w:rPr>
          <w:noProof/>
        </w:rPr>
      </w:pPr>
      <w:r>
        <w:rPr>
          <w:noProof/>
        </w:rPr>
        <w:t>Η κυκλική (δευτερογενής) χρήση υλικών στην Ελλάδα ήταν μόνο 2,4 % το 2014 (μέσος όρος στην ΕΕ των 28: 11,4 %). Η Ελλάδα έχει χαμηλότερες επιδόσεις από τον μέσο όρο της ΕΕ των 28 όσον αφορά τον αριθμό των ατόμων που απασχολούνται στον τομέα της κυκλικής οικονομίας (1,65 % της συνολικής απασχόλησης το 2016 σε σύγκριση με τον μέσο όρο της ΕΕ των 28, ήτοι 1,73 %).</w:t>
      </w:r>
    </w:p>
    <w:p w:rsidR="00EE1CB7" w:rsidRDefault="0034634B">
      <w:pPr>
        <w:rPr>
          <w:noProof/>
        </w:rPr>
      </w:pPr>
      <w:r>
        <w:rPr>
          <w:noProof/>
        </w:rPr>
        <w:t xml:space="preserve">Στο ειδικό Ευρωβαρόμετρο του 2017 για τη στάση των πολιτών της ΕΕ απέναντι στο περιβάλλον, το 91 % των Ελλήνων δήλωσαν ότι ανησυχούν για την επίδραση που έχουν τα προϊόντα από πλαστικό στο περιβάλλον (μέσος όρος στην ΕΕ των 28: 87 %). Το 94 % δήλωσαν ότι ανησυχούν για τις επιπτώσεις των χημικών (μέσος όρος </w:t>
      </w:r>
      <w:r>
        <w:rPr>
          <w:noProof/>
        </w:rPr>
        <w:t>στην ΕΕ των 28: 90 %)</w:t>
      </w:r>
      <w:r>
        <w:rPr>
          <w:rStyle w:val="ae"/>
          <w:noProof/>
        </w:rPr>
        <w:footnoteReference w:id="4"/>
      </w:r>
      <w:r>
        <w:rPr>
          <w:noProof/>
        </w:rPr>
        <w:t>. Η ελληνική κοινωνία φαίνεται να υποστηρίζει σθεναρά τις πρωτοβουλίες κυκλικής οικονομίας και τα μέτρα περιβαλλοντικής προστασίας.</w:t>
      </w:r>
    </w:p>
    <w:p w:rsidR="00EE1CB7" w:rsidRDefault="0034634B">
      <w:pPr>
        <w:rPr>
          <w:noProof/>
        </w:rPr>
      </w:pPr>
      <w:r>
        <w:rPr>
          <w:noProof/>
        </w:rPr>
        <w:t>Από την ΕΕΠΠ του 2017, η θέση της κυκλικής οικονομίας βελτιώθηκε και η στήριξη πολιτικής για την κυκλική οικονομία ενισχύθηκε, ενώ λήφθηκαν συγκεκριμένα μέτρα προς την κατεύθυνση μιας ολοκληρωμένης στρατηγικής πολιτικής.</w:t>
      </w:r>
    </w:p>
    <w:p w:rsidR="00EE1CB7" w:rsidRDefault="0034634B">
      <w:pPr>
        <w:rPr>
          <w:noProof/>
        </w:rPr>
      </w:pPr>
      <w:r>
        <w:rPr>
          <w:noProof/>
        </w:rPr>
        <w:t>Τον Απρίλιο του 2018, το Κυβερνητικό Συμβούλιο Οικονομικής Πολιτικής (ΚΥΣΟΙΠ) ενέκρινε το εθνικό σχέδιο δράσης για την κυκλική οικονομία, συμπεριλαμβανομένων βραχυπρόθεσμων και μακροπρόθεσμων προτεραιοτήτων. Επιπλέον, η Ελλάδα πρόκειται να θεσπίσει δείκτες για την παρακολούθηση του αντικτύπου της μετάβασης στην κυκλική οικονομία.</w:t>
      </w:r>
    </w:p>
    <w:p w:rsidR="00EE1CB7" w:rsidRDefault="0034634B">
      <w:pPr>
        <w:rPr>
          <w:noProof/>
        </w:rPr>
      </w:pPr>
      <w:r>
        <w:rPr>
          <w:noProof/>
        </w:rPr>
        <w:t>Επίσης, τον Νοέμβριο του 2017, η Ελλάδα ενέκρινε νέο νόμο για την ανακύκλωση (νόμος 4496/2017), ο οποίος προσάρμοσε την υφιστάμενη νομοθεσία στις αρχές της κυκλικής οικονομίας.</w:t>
      </w:r>
    </w:p>
    <w:p w:rsidR="00EE1CB7" w:rsidRDefault="0034634B">
      <w:pPr>
        <w:rPr>
          <w:noProof/>
        </w:rPr>
      </w:pPr>
      <w:r>
        <w:rPr>
          <w:noProof/>
        </w:rPr>
        <w:t>Η Ελλάδα προάγει επίσης ενεργά τον διάλογο μεταξύ των ενδιαφερόμενων μερών, ώστε να επέλθει αλλαγή στην πράξη. Στο φόρουμ διαλόγου για την κυκλική οικονομία συμμετέχουν επιχειρήσεις, ΜΜΕ, ερευνητές, κοινωνικοί επιχειρηματίες κ.λπ., για την προώθηση κυκλικών επιχειρηματικών μοντέλων και καινοτομίας.</w:t>
      </w:r>
    </w:p>
    <w:p w:rsidR="00EE1CB7" w:rsidRDefault="0034634B">
      <w:pPr>
        <w:widowControl w:val="0"/>
        <w:rPr>
          <w:rFonts w:eastAsia="Times New Roman" w:cs="Times New Roman"/>
          <w:noProof/>
        </w:rPr>
      </w:pPr>
      <w:r>
        <w:rPr>
          <w:noProof/>
        </w:rPr>
        <w:t>Γενικά, η περιβαλλοντική πολιτική στην Ελλάδα εξακολουθεί να εστιάζει στην προώθηση της χρήσης ανανεώσιμων πηγών ενέργειας και στη θέσπιση μέτρων ενεργειακής απόδοσης, τα οποία μπορούν να ενθαρρύνουν την οικοκαινοτομία. Τα εν λόγω μέτρα, μαζί με το νέο εθνικό σχέδιο διαχείρισης αποβλήτων και τα περιφερειακά σχέδια διαχείρισης αποβλήτων, μπορούν να διευκολύνουν τη μετάβαση σε μια κυκλική οικονομία.</w:t>
      </w:r>
    </w:p>
    <w:p w:rsidR="00EE1CB7" w:rsidRDefault="0034634B">
      <w:pPr>
        <w:rPr>
          <w:iCs/>
          <w:noProof/>
        </w:rPr>
      </w:pPr>
      <w:r>
        <w:rPr>
          <w:noProof/>
        </w:rPr>
        <w:t>Οι επιδόσεις της Ελλάδας υπολείπονται του μέσου όρου της ΕΕ από πλευράς παραγωγικότητας των πόρων</w:t>
      </w:r>
      <w:r>
        <w:rPr>
          <w:rStyle w:val="ae"/>
          <w:noProof/>
        </w:rPr>
        <w:footnoteReference w:id="5"/>
      </w:r>
      <w:r>
        <w:rPr>
          <w:noProof/>
        </w:rPr>
        <w:t xml:space="preserve"> (δηλ. </w:t>
      </w:r>
      <w:r>
        <w:rPr>
          <w:noProof/>
        </w:rPr>
        <w:lastRenderedPageBreak/>
        <w:t>το πόσο αποδοτικά χρησιμοποιεί η οικονομία τους υλικούς πόρους για την παραγωγή πλούτου), με 1,45 EUR/kg (ο μέσος όρος είναι 2,04) το 2017</w:t>
      </w:r>
      <w:r>
        <w:rPr>
          <w:rStyle w:val="ae"/>
          <w:noProof/>
        </w:rPr>
        <w:footnoteReference w:id="6"/>
      </w:r>
      <w:r>
        <w:rPr>
          <w:noProof/>
        </w:rPr>
        <w:t>. Όπως φαίνεται στο διάγραμμα 1, η παραγωγικότητα των πόρων στην Ελλάδα αυξήθηκε ελαφρώς σε σύγκριση με το 2014.</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EE1CB7">
        <w:tc>
          <w:tcPr>
            <w:tcW w:w="4909" w:type="dxa"/>
          </w:tcPr>
          <w:p w:rsidR="00EE1CB7" w:rsidRDefault="0034634B">
            <w:pPr>
              <w:widowControl w:val="0"/>
              <w:rPr>
                <w:b/>
                <w:bCs/>
                <w:noProof/>
                <w:color w:val="1F497D" w:themeColor="text2"/>
              </w:rPr>
            </w:pPr>
            <w:r>
              <w:rPr>
                <w:b/>
                <w:noProof/>
                <w:color w:val="1F497D" w:themeColor="text2"/>
              </w:rPr>
              <w:t>Διάγραμμα 1: Παραγωγικότητα των πόρων 2010-2017</w:t>
            </w:r>
            <w:r>
              <w:rPr>
                <w:rStyle w:val="ae"/>
                <w:b/>
                <w:noProof/>
                <w:color w:val="1F497D" w:themeColor="text2"/>
              </w:rPr>
              <w:footnoteReference w:id="7"/>
            </w:r>
          </w:p>
          <w:p w:rsidR="00EE1CB7" w:rsidRDefault="0034634B">
            <w:pPr>
              <w:widowControl w:val="0"/>
              <w:rPr>
                <w:rFonts w:ascii="Times New Roman" w:eastAsia="Times New Roman" w:hAnsi="Times New Roman" w:cs="Times New Roman"/>
                <w:i/>
                <w:iCs/>
                <w:noProof/>
                <w:color w:val="1F497D" w:themeColor="text2"/>
              </w:rPr>
            </w:pPr>
            <w:r>
              <w:rPr>
                <w:rFonts w:ascii="Times New Roman" w:eastAsia="Times New Roman" w:hAnsi="Times New Roman" w:cs="Times New Roman"/>
                <w:i/>
                <w:iCs/>
                <w:noProof/>
                <w:color w:val="1F497D" w:themeColor="text2"/>
                <w:lang w:bidi="ar-SA"/>
              </w:rPr>
              <w:drawing>
                <wp:inline distT="0" distB="0" distL="0" distR="0">
                  <wp:extent cx="2977515" cy="2033905"/>
                  <wp:effectExtent l="0" t="0" r="0" b="444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77515" cy="2033905"/>
                          </a:xfrm>
                          <a:prstGeom prst="rect">
                            <a:avLst/>
                          </a:prstGeom>
                          <a:noFill/>
                          <a:ln>
                            <a:noFill/>
                          </a:ln>
                        </pic:spPr>
                      </pic:pic>
                    </a:graphicData>
                  </a:graphic>
                </wp:inline>
              </w:drawing>
            </w:r>
          </w:p>
        </w:tc>
      </w:tr>
    </w:tbl>
    <w:p w:rsidR="00EE1CB7" w:rsidRDefault="0034634B">
      <w:pPr>
        <w:rPr>
          <w:noProof/>
        </w:rPr>
      </w:pPr>
      <w:r>
        <w:rPr>
          <w:noProof/>
        </w:rPr>
        <w:t xml:space="preserve">Το επιχειρησιακό πρόγραμμα «Ανταγωνιστικότητα, Επιχειρηματικότητα και Καινοτομία» στο πλαίσιο του Εθνικού Στρατηγικού Πλαισίου Αναφοράς (ΕΣΠΑ) 2014-2020 διαθέτει 28,8 εκατ. EUR για την προώθηση καινοτόμων τεχνολογιών για την προστασία του περιβάλλοντος και την αποδοτική χρήση των πόρων στους τομείς της διαχείρισης των αποβλήτων, της διαχείρισης των υδάτινων πόρων, της ρύπανσης του εδάφους και της ατμοσφαιρικής ρύπανσης. Η στήριξη καλύπτει δραστηριότητες επιχειρήσεων στον τομέα έρευνας και ανάπτυξης (Ε&amp;Α), για την ανάπτυξη και εφαρμογή τεχνολογιών κατά της ρύπανσης και μηχανισμών παρακολούθησης. Επιπλέον ποσό ύψους 28,3 εκατ. EUR διατίθεται για τη στήριξη της πράσινης ανάπτυξης και της οικοκαινοτομίας τόσο στον ιδιωτικό όσο και στον δημόσιο τομέα. Στις συγχρηματοδοτούμενες δραστηριότητες περιλαμβάνονται μέτρα για την αύξηση της «τεχνολογικής τεχνογνωσίας» στους τομείς της προστασίας του περιβάλλοντος και του οικολογικού σχεδιασμού προϊόντων. </w:t>
      </w:r>
    </w:p>
    <w:p w:rsidR="00EE1CB7" w:rsidRDefault="0034634B">
      <w:pPr>
        <w:rPr>
          <w:noProof/>
        </w:rPr>
      </w:pPr>
      <w:r>
        <w:rPr>
          <w:noProof/>
        </w:rPr>
        <w:t>Τον Σεπτέμβριο του 2018, η Ελλάδα είχε 3348 προϊόντα και 32 άδειες καταχωρισμένα στο σύστημα οικολογικού σήματος της ΕΕ, σε σύνολο 71707 προϊόντων και 2167 αδειών στην ΕΕ.</w:t>
      </w:r>
    </w:p>
    <w:p w:rsidR="00EE1CB7" w:rsidRDefault="0034634B">
      <w:pPr>
        <w:pStyle w:val="31"/>
        <w:rPr>
          <w:noProof/>
        </w:rPr>
      </w:pPr>
      <w:bookmarkStart w:id="20" w:name="_Toc454548610"/>
      <w:r>
        <w:rPr>
          <w:noProof/>
        </w:rPr>
        <w:t>ΜΜΕ και αποδοτική χρήση των πόρων</w:t>
      </w:r>
      <w:bookmarkEnd w:id="20"/>
    </w:p>
    <w:p w:rsidR="00EE1CB7" w:rsidRDefault="0034634B">
      <w:pPr>
        <w:rPr>
          <w:noProof/>
        </w:rPr>
      </w:pPr>
      <w:r>
        <w:rPr>
          <w:noProof/>
        </w:rPr>
        <w:t xml:space="preserve">Οι επιδόσεις των ελληνικών ΜΜΕ εξακολουθούν να υπολείπονται του μέσου όρου στην ΕΕ των 28 όσον αφορά τις περιβαλλοντικές πτυχές της πρωτοβουλίας «Small Business Act» (βλ. διάγραμμα 2). Παρότι το ποσοστό των ΜΜΕ που επωφελούνται από μέτρα δημόσιας στήριξης για τις δράσεις αποδοτικής χρήσης των πόρων σημείωσε σημαντική αύξηση από 4 % σε 25 % σε σύγκριση με την προηγούμενη περίοδο αναφοράς, απαιτούνται περαιτέρω προσπάθειες, καθώς το εν λόγω ποσοστό εξακολουθεί να συγκαταλέγεται μεταξύ των χαμηλότερων στην ΕΕ. Παρότι θεσπίστηκαν ορισμένα συναφή μέτρα από το 2008, όπως ο «Πράσινος Τουρισμός» και η «Πράσινη Επιχειρηματικότητα», υπάρχει περιθώριο βελτίωσης όσον αφορά την προώθηση της ανάπτυξης καινοτόμων, οικολογικά αποδοτικών διεργασιών, προϊόντων και υπηρεσιών, και τον βαθμό υιοθέτησής τους από ΜΜΕ. </w:t>
      </w:r>
    </w:p>
    <w:p w:rsidR="00EE1CB7" w:rsidRDefault="0034634B">
      <w:pPr>
        <w:rPr>
          <w:noProof/>
        </w:rPr>
      </w:pPr>
      <w:r>
        <w:rPr>
          <w:noProof/>
        </w:rPr>
        <w:t>Στο πλαίσιο του τελευταίου Ευρωβαρόμετρου με τίτλο «ΜΜΕ, αποδοτική χρήση των πόρων και πράσινες αγορές»</w:t>
      </w:r>
      <w:r>
        <w:rPr>
          <w:rStyle w:val="ae"/>
          <w:noProof/>
        </w:rPr>
        <w:footnoteReference w:id="8"/>
      </w:r>
      <w:r>
        <w:rPr>
          <w:noProof/>
        </w:rPr>
        <w:t>, εταιρείες ρωτήθηκαν τόσο για τα πρόσφατα μέτρα αποδοτικής χρήσης των πόρων που είχαν λάβει όσο και για πρόσθετα μέτρα αποδοτικής χρήσης των πόρων που σχεδίαζαν να λάβουν κατά τα επόμενα 2 έτη. Στη συνέχεια, το Ευρωβαρόμετρο συνέκρινε αυτές τις απαντήσεις με τις απαντήσεις που είχαν δοθεί στα ίδια ερωτήματα το 2015. Αυξανόμενος αριθμός εταιρειών υποστηρίζουν ότι έχουν επενδύσει στην αποδοτική χρήση των πόρων. Ελληνικές εταιρείες από πολλούς κλάδους προσεγγίζουν με αργό ρυθμό τους μέσους όρους της ΕΕ των 28 σε αυτόν τον τομέα. Από την εξέταση των προθέσεων των εταιρειών προκύπτει ότι η εν λόγω τάση πρόκειται να συνεχιστεί, ιδίως όσον αφορά τη χρήση ανανεώσιμων πηγών ενέργειας (28 %· +9 % σε σχέση με το 2015 έναντι μέσου όρου 22 % στην ΕΕ των 28). Οι ελληνικές εταιρείες δεν είναι ιδιαίτερα φιλόδοξες όσον αφορά την εξοικονόμηση υλικών, την ελαχιστοποίηση των αποβλήτων και την ανακύκλωση, ενώ το χάσμα με τον μέσο όρο της ΕΕ για τους εν λόγω δείκτες εξακολουθεί να είναι σημαντικό.</w:t>
      </w:r>
    </w:p>
    <w:p w:rsidR="00EE1CB7" w:rsidRDefault="0034634B">
      <w:pPr>
        <w:rPr>
          <w:noProof/>
        </w:rPr>
      </w:pPr>
      <w:r>
        <w:rPr>
          <w:noProof/>
        </w:rPr>
        <w:t xml:space="preserve">Το ποσοστό 14 % των ελληνικών εταιρειών που βασίζονται σε εξωτερική στήριξη στις προσπάθειές τους να καταστούν πιο αποδοτικές ως προς τη χρήση των πόρων υπολείπεται του μέσου όρου της ΕΕ, που είναι 22 % (εύρος στην ΕΕ: 3 % — 38 %). Όσον αφορά την παροχή συμβουλών, το 59 % δηλώνουν ότι βασίζονται σε συμβουλευτική από τον ιδιωτικό τομέα, αλλά τόσο οι επιχειρηματικές ενώσεις (24 %· +20 %) όσο και οι </w:t>
      </w:r>
      <w:r>
        <w:rPr>
          <w:noProof/>
        </w:rPr>
        <w:lastRenderedPageBreak/>
        <w:t>δημόσιες διοικήσεις (12 %· +12 %) ανέκαμψαν από την κρίση και ενισχύθηκαν από αυτή την άποψη.</w:t>
      </w:r>
    </w:p>
    <w:p w:rsidR="00EE1CB7" w:rsidRDefault="0034634B">
      <w:pPr>
        <w:rPr>
          <w:noProof/>
        </w:rPr>
      </w:pPr>
      <w:r>
        <w:rPr>
          <w:noProof/>
        </w:rPr>
        <w:t>Το 46 % των ελληνικών εταιρειών θεωρούν ότι οι επιχορηγήσεις και οι επιδοτήσεις είναι χρήσιμες. Επιπλέον, οι ελληνικές εταιρείες εκτιμούν την παροχή τεχνικών και οικονομικών συμβουλών (27 % για έκαστη), ποσοστό που υπερβαίνει τον μέσο όρο της ΕΕ (22-23 %).</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EE1CB7">
        <w:tc>
          <w:tcPr>
            <w:tcW w:w="4909" w:type="dxa"/>
          </w:tcPr>
          <w:p w:rsidR="00EE1CB7" w:rsidRDefault="0034634B">
            <w:pPr>
              <w:rPr>
                <w:rFonts w:eastAsiaTheme="minorEastAsia"/>
                <w:b/>
                <w:bCs/>
                <w:noProof/>
                <w:color w:val="1F497D" w:themeColor="text2"/>
              </w:rPr>
            </w:pPr>
            <w:r>
              <w:rPr>
                <w:rFonts w:eastAsiaTheme="minorEastAsia"/>
                <w:b/>
                <w:noProof/>
                <w:color w:val="1F497D" w:themeColor="text2"/>
              </w:rPr>
              <w:t>Διάγραμμα 2: Περιβαλλοντικές επιδόσεις των ΜΜΕ</w:t>
            </w:r>
            <w:r>
              <w:rPr>
                <w:rStyle w:val="ae"/>
                <w:rFonts w:asciiTheme="minorHAnsi" w:eastAsiaTheme="minorEastAsia" w:hAnsiTheme="minorHAnsi" w:cstheme="minorEastAsia"/>
                <w:b/>
                <w:noProof/>
                <w:color w:val="1F497D" w:themeColor="text2"/>
              </w:rPr>
              <w:footnoteReference w:id="9"/>
            </w:r>
          </w:p>
        </w:tc>
      </w:tr>
      <w:tr w:rsidR="00EE1CB7">
        <w:tc>
          <w:tcPr>
            <w:tcW w:w="4909" w:type="dxa"/>
          </w:tcPr>
          <w:p w:rsidR="00EE1CB7" w:rsidRDefault="0034634B">
            <w:pPr>
              <w:rPr>
                <w:rFonts w:eastAsiaTheme="minorEastAsia"/>
                <w:b/>
                <w:bCs/>
                <w:noProof/>
                <w:color w:val="1F497D" w:themeColor="text2"/>
              </w:rPr>
            </w:pPr>
            <w:r>
              <w:rPr>
                <w:rFonts w:eastAsiaTheme="minorEastAsia"/>
                <w:b/>
                <w:bCs/>
                <w:noProof/>
                <w:color w:val="1F497D" w:themeColor="text2"/>
                <w:lang w:bidi="ar-SA"/>
              </w:rPr>
              <w:drawing>
                <wp:inline distT="0" distB="0" distL="0" distR="0">
                  <wp:extent cx="2978785" cy="46551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78785" cy="4655185"/>
                          </a:xfrm>
                          <a:prstGeom prst="rect">
                            <a:avLst/>
                          </a:prstGeom>
                          <a:noFill/>
                          <a:ln>
                            <a:noFill/>
                          </a:ln>
                        </pic:spPr>
                      </pic:pic>
                    </a:graphicData>
                  </a:graphic>
                </wp:inline>
              </w:drawing>
            </w:r>
          </w:p>
        </w:tc>
      </w:tr>
    </w:tbl>
    <w:p w:rsidR="00EE1CB7" w:rsidRDefault="0034634B">
      <w:pPr>
        <w:rPr>
          <w:noProof/>
        </w:rPr>
      </w:pPr>
      <w:r>
        <w:rPr>
          <w:noProof/>
        </w:rPr>
        <w:t>Κατά την ανάκαμψή του από την κρίση, ο επιχειρηματικός τομέας στην Ελλάδα καθίσταται πιο φιλόδοξος όσον αφορά την αποδοτική χρήση των πόρων και την ανάπτυξη πράσινων προϊόντων και υπηρεσιών. Σε ολοένα και μεγαλύτερο βαθμό, ο δημόσιος τομέας και οι επιχειρηματικές ενώσεις θεωρούνται πολύτιμοι εταίροι, πλέον της συμβουλευτικής από τον ιδιωτικό τομέα.</w:t>
      </w:r>
    </w:p>
    <w:p w:rsidR="00EE1CB7" w:rsidRDefault="0034634B">
      <w:pPr>
        <w:pStyle w:val="31"/>
        <w:rPr>
          <w:noProof/>
        </w:rPr>
      </w:pPr>
      <w:bookmarkStart w:id="21" w:name="_Toc454548611"/>
      <w:r>
        <w:rPr>
          <w:noProof/>
        </w:rPr>
        <w:t>Οικοκαινοτομία</w:t>
      </w:r>
      <w:bookmarkEnd w:id="21"/>
    </w:p>
    <w:p w:rsidR="00EE1CB7" w:rsidRDefault="0034634B">
      <w:pPr>
        <w:rPr>
          <w:iCs/>
          <w:noProof/>
        </w:rPr>
      </w:pPr>
      <w:r>
        <w:rPr>
          <w:noProof/>
        </w:rPr>
        <w:t>Στον ευρωπαϊκό πίνακα αποτελεσμάτων στον τομέα της καινοτομίας 2018</w:t>
      </w:r>
      <w:r>
        <w:rPr>
          <w:rStyle w:val="ae"/>
          <w:rFonts w:asciiTheme="minorEastAsia" w:eastAsiaTheme="minorEastAsia" w:hAnsiTheme="minorEastAsia" w:cstheme="minorEastAsia"/>
          <w:noProof/>
        </w:rPr>
        <w:footnoteReference w:id="10"/>
      </w:r>
      <w:r>
        <w:rPr>
          <w:noProof/>
        </w:rPr>
        <w:t xml:space="preserve"> η Ελλάδα κατέλαβε την 22η θέση, </w:t>
      </w:r>
      <w:r>
        <w:rPr>
          <w:noProof/>
        </w:rPr>
        <w:t>ενώ οι επιδόσεις της ήταν καλύτερες στον δείκτη οικοκαινοτομίας για το 2017 (διάγραμμα 3), όπου βρισκόταν στην 20ή θέση με 77 μονάδες.</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EE1CB7">
        <w:tc>
          <w:tcPr>
            <w:tcW w:w="4909" w:type="dxa"/>
          </w:tcPr>
          <w:p w:rsidR="00EE1CB7" w:rsidRDefault="0034634B">
            <w:pPr>
              <w:widowControl w:val="0"/>
              <w:rPr>
                <w:rFonts w:ascii="Times New Roman" w:eastAsia="Times New Roman" w:hAnsi="Times New Roman" w:cs="Times New Roman"/>
                <w:noProof/>
                <w:color w:val="1F497D" w:themeColor="text2"/>
              </w:rPr>
            </w:pPr>
            <w:r>
              <w:rPr>
                <w:b/>
                <w:noProof/>
                <w:color w:val="1F497D" w:themeColor="text2"/>
              </w:rPr>
              <w:t>Διάγραμμα 3: Δείκτης οικοκαινοτομίας 2017 (ΕΕ=100)</w:t>
            </w:r>
            <w:r>
              <w:rPr>
                <w:rStyle w:val="ae"/>
                <w:noProof/>
              </w:rPr>
              <w:footnoteReference w:id="11"/>
            </w:r>
            <w:r>
              <w:rPr>
                <w:rFonts w:ascii="Times New Roman" w:hAnsi="Times New Roman"/>
                <w:noProof/>
              </w:rPr>
              <w:t xml:space="preserve"> </w:t>
            </w:r>
          </w:p>
        </w:tc>
      </w:tr>
      <w:tr w:rsidR="00EE1CB7">
        <w:tc>
          <w:tcPr>
            <w:tcW w:w="4909" w:type="dxa"/>
          </w:tcPr>
          <w:p w:rsidR="00EE1CB7" w:rsidRDefault="0034634B">
            <w:pPr>
              <w:widowControl w:val="0"/>
              <w:rPr>
                <w:rFonts w:ascii="Times New Roman" w:eastAsia="Times New Roman" w:hAnsi="Times New Roman" w:cs="Times New Roman"/>
                <w:i/>
                <w:iCs/>
                <w:noProof/>
              </w:rPr>
            </w:pPr>
            <w:r>
              <w:rPr>
                <w:rFonts w:cs="Times New Roman"/>
                <w:i/>
                <w:noProof/>
                <w:lang w:bidi="ar-SA"/>
              </w:rPr>
              <w:drawing>
                <wp:inline distT="0" distB="0" distL="0" distR="0">
                  <wp:extent cx="3012897" cy="339277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19617" cy="3400341"/>
                          </a:xfrm>
                          <a:prstGeom prst="rect">
                            <a:avLst/>
                          </a:prstGeom>
                          <a:noFill/>
                        </pic:spPr>
                      </pic:pic>
                    </a:graphicData>
                  </a:graphic>
                </wp:inline>
              </w:drawing>
            </w:r>
          </w:p>
        </w:tc>
      </w:tr>
    </w:tbl>
    <w:p w:rsidR="00EE1CB7" w:rsidRDefault="0034634B">
      <w:pPr>
        <w:widowControl w:val="0"/>
        <w:rPr>
          <w:rFonts w:ascii="Times New Roman" w:eastAsia="Times New Roman" w:hAnsi="Times New Roman" w:cs="Times New Roman"/>
          <w:i/>
          <w:iCs/>
          <w:noProof/>
        </w:rPr>
      </w:pPr>
      <w:r>
        <w:rPr>
          <w:noProof/>
        </w:rPr>
        <w:t>Από το 2010, η Ελλάδα βελτιώθηκε σημαντικά, όπως φαίνεται στο διάγραμμα 4. Η Ελλάδα έχει μειώσει το χάσμα σε σχέση με τον μέσο όρο της ΕΕ κατά 30 μονάδες και πλέον.</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EE1CB7">
        <w:tc>
          <w:tcPr>
            <w:tcW w:w="4909" w:type="dxa"/>
          </w:tcPr>
          <w:p w:rsidR="00EE1CB7" w:rsidRDefault="0034634B">
            <w:pPr>
              <w:widowControl w:val="0"/>
              <w:rPr>
                <w:rFonts w:ascii="Times New Roman" w:eastAsia="Times New Roman" w:hAnsi="Times New Roman" w:cs="Times New Roman"/>
                <w:noProof/>
                <w:color w:val="1F497D" w:themeColor="text2"/>
              </w:rPr>
            </w:pPr>
            <w:r>
              <w:rPr>
                <w:b/>
                <w:noProof/>
                <w:color w:val="1F497D" w:themeColor="text2"/>
              </w:rPr>
              <w:t>Διάγραμμα 4: Επιδόσεις της Ελλάδας στην οικοκαινοτομία</w:t>
            </w:r>
          </w:p>
        </w:tc>
      </w:tr>
      <w:tr w:rsidR="00EE1CB7">
        <w:tc>
          <w:tcPr>
            <w:tcW w:w="4909" w:type="dxa"/>
          </w:tcPr>
          <w:p w:rsidR="00EE1CB7" w:rsidRDefault="0034634B">
            <w:pPr>
              <w:widowControl w:val="0"/>
              <w:rPr>
                <w:rFonts w:ascii="Times New Roman" w:eastAsia="Times New Roman" w:hAnsi="Times New Roman" w:cs="Times New Roman"/>
                <w:i/>
                <w:iCs/>
                <w:noProof/>
              </w:rPr>
            </w:pPr>
            <w:r>
              <w:rPr>
                <w:rFonts w:ascii="Times New Roman" w:eastAsia="Times New Roman" w:hAnsi="Times New Roman" w:cs="Times New Roman"/>
                <w:i/>
                <w:iCs/>
                <w:noProof/>
                <w:lang w:bidi="ar-SA"/>
              </w:rPr>
              <w:drawing>
                <wp:inline distT="0" distB="0" distL="0" distR="0">
                  <wp:extent cx="2977515" cy="1455420"/>
                  <wp:effectExtent l="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77515" cy="1455420"/>
                          </a:xfrm>
                          <a:prstGeom prst="rect">
                            <a:avLst/>
                          </a:prstGeom>
                          <a:noFill/>
                          <a:ln>
                            <a:noFill/>
                          </a:ln>
                        </pic:spPr>
                      </pic:pic>
                    </a:graphicData>
                  </a:graphic>
                </wp:inline>
              </w:drawing>
            </w:r>
          </w:p>
        </w:tc>
      </w:tr>
    </w:tbl>
    <w:p w:rsidR="00EE1CB7" w:rsidRDefault="0034634B">
      <w:pPr>
        <w:rPr>
          <w:noProof/>
        </w:rPr>
      </w:pPr>
      <w:r>
        <w:rPr>
          <w:noProof/>
        </w:rPr>
        <w:t xml:space="preserve">Η περιβαλλοντική πολιτική στην Ελλάδα εστιάζει στην ενθάρρυνση της χρήσης ενέργειας από ανανεώσιμες πηγές και στην εφαρμογή μέτρων ενεργειακής απόδοσης και διαχείρισης των αποβλήτων τα οποία προάγουν την </w:t>
      </w:r>
      <w:r>
        <w:rPr>
          <w:noProof/>
        </w:rPr>
        <w:lastRenderedPageBreak/>
        <w:t>οικοκαινοτομία. Η ικανότητα καινοτομίας της ελληνικής οικονομίας εξαρτάται σε μεγάλο βαθμό από την εισαγόμενη τεχνολογία και την τεχνογνωσία. Τα δυνατά σημεία της αφορούν περισσότερο καινοτομίες σε επίπεδο οργάνωσης και εμπορίας, παρά τεχνικές βελτιώσεις. Επίσης, το μικρό μέγεθος των ελληνικών εταιρειών αποθαρρύνει την περαιτέρω ανάπτυξη και εμπορευματοποίηση των καινοτομιών.</w:t>
      </w:r>
    </w:p>
    <w:p w:rsidR="00EE1CB7" w:rsidRDefault="0034634B">
      <w:pPr>
        <w:widowControl w:val="0"/>
        <w:rPr>
          <w:noProof/>
        </w:rPr>
      </w:pPr>
      <w:r>
        <w:rPr>
          <w:rFonts w:ascii="Calibri" w:hAnsi="Calibri"/>
          <w:noProof/>
        </w:rPr>
        <w:t>Το πλαίσιο πολιτικής για τη στήριξη της καινοτομίας αναμένεται να βελτιωθεί σημαντικά χάρη στο Σχέδιο Δράσης του 2014 για την εφαρμογή της Εθνικής Στρατηγικής Έρευνας, Τεχνολογικής Ανάπτυξης και Καινοτομίας 2015-2021, που προωθεί την οικοκαινοτομία και άλλες δραστηριότητες.</w:t>
      </w:r>
    </w:p>
    <w:p w:rsidR="00EE1CB7" w:rsidRDefault="0034634B">
      <w:pPr>
        <w:widowControl w:val="0"/>
        <w:rPr>
          <w:noProof/>
        </w:rPr>
      </w:pPr>
      <w:r>
        <w:rPr>
          <w:rFonts w:ascii="Calibri" w:hAnsi="Calibri"/>
          <w:noProof/>
        </w:rPr>
        <w:t>Οι ερευνητικές δραστηριότητες στην Ελλάδα εξαρτώνται σε μεγάλο βαθμό από τα ενωσιακά κονδύλια. Το ΕΣΠΑ αναμένεται να διαθέσει περίπου 5,18 δισ. EUR την περίοδο 2014-2020 για περιβαλλοντικές δραστηριότητες, εκ των οποίων 1,2 δισ. EUR θα διατεθούν για την ενίσχυση της έρευνας, της τεχνολογικής ανάπτυξης και της καινοτομίας.</w:t>
      </w:r>
    </w:p>
    <w:p w:rsidR="00EE1CB7" w:rsidRDefault="0034634B">
      <w:pPr>
        <w:widowControl w:val="0"/>
        <w:rPr>
          <w:rFonts w:ascii="Calibri" w:eastAsia="Calibri" w:hAnsi="Calibri" w:cs="Calibri"/>
          <w:noProof/>
        </w:rPr>
      </w:pPr>
      <w:r>
        <w:rPr>
          <w:rFonts w:ascii="Calibri" w:hAnsi="Calibri"/>
          <w:noProof/>
        </w:rPr>
        <w:t>Το Εθνικό Ταμείο Επιχειρηματικότητας και Ανάπτυξης (ΕΤΕΑΝ) θα θέσει σε προτεραιότητα τη στήριξη των δραστηριοτήτων των επιχειρήσεων που σχετίζονται με τη βιωσιμότητα, την ενεργειακή απόδοση και τις ανανεώσιμες πηγές ενέργειας. Το σχέδιο διαχείρισης των αποβλήτων προωθεί επίσης την Ε&amp;Α και την υιοθέτηση καινοτόμων τεχνολογιών στον οικολογικό σχεδιασμό, τη συσκευασία και τη διαχείριση των αποβλήτων</w:t>
      </w:r>
      <w:r>
        <w:rPr>
          <w:rStyle w:val="ae"/>
          <w:noProof/>
        </w:rPr>
        <w:footnoteReference w:id="12"/>
      </w:r>
      <w:r>
        <w:rPr>
          <w:rFonts w:ascii="Calibri" w:hAnsi="Calibri"/>
          <w:noProof/>
        </w:rPr>
        <w:t>.</w:t>
      </w:r>
    </w:p>
    <w:p w:rsidR="00EE1CB7" w:rsidRDefault="0034634B">
      <w:pPr>
        <w:rPr>
          <w:noProof/>
          <w:color w:val="1F497D" w:themeColor="text2"/>
          <w:sz w:val="22"/>
        </w:rPr>
      </w:pPr>
      <w:r>
        <w:rPr>
          <w:noProof/>
          <w:color w:val="1F497D" w:themeColor="text2"/>
          <w:sz w:val="22"/>
        </w:rPr>
        <w:t>Δράσεις προτεραιότητας για το 2019</w:t>
      </w:r>
    </w:p>
    <w:p w:rsidR="00EE1CB7" w:rsidRDefault="0034634B">
      <w:pPr>
        <w:pStyle w:val="SuggActions"/>
      </w:pPr>
      <w:r>
        <w:t xml:space="preserve">Ενίσχυση του πλαισίου πολιτικής για την επιτάχυνση της μετάβασης στην κυκλική οικονομία από όλους τους οικονομικούς τομείς, για παράδειγμα για την εξοικονόμηση νερού και ενέργειας, τη μείωση των αποβλήτων, την ανακύκλωση υλικών και/ή την υιοθέτηση της αγοράς δευτερογενών πρώτων υλών.  </w:t>
      </w:r>
    </w:p>
    <w:p w:rsidR="00EE1CB7" w:rsidRDefault="0034634B">
      <w:pPr>
        <w:pStyle w:val="SuggActions"/>
      </w:pPr>
      <w:r>
        <w:t>Βελτίωση των επιδόσεων οικοκαινοτομίας, για παράδειγμα μέσω καλύτερης χρήσης των περιβαλλοντικών προτύπων και αδειών και άλλων ευρωπαϊκών και διεθνών μέσων.</w:t>
      </w:r>
    </w:p>
    <w:p w:rsidR="00EE1CB7" w:rsidRDefault="0034634B">
      <w:pPr>
        <w:pStyle w:val="SuggActions"/>
      </w:pPr>
      <w:r>
        <w:t>Παροχή κινήτρων για εξοικονόμηση ενέργειας και νερού και αύξηση του επιπέδου ανακύκλωσης στις ΜΜΕ.</w:t>
      </w:r>
      <w:bookmarkStart w:id="22" w:name="_Toc454460675"/>
      <w:bookmarkStart w:id="23" w:name="_Toc509391835"/>
      <w:bookmarkStart w:id="24" w:name="_Toc525660368"/>
    </w:p>
    <w:p w:rsidR="00EE1CB7" w:rsidRDefault="0034634B">
      <w:pPr>
        <w:pStyle w:val="21"/>
        <w:rPr>
          <w:noProof/>
        </w:rPr>
      </w:pPr>
      <w:bookmarkStart w:id="25" w:name="_Toc546014"/>
      <w:bookmarkStart w:id="26" w:name="_Toc13470657"/>
      <w:r>
        <w:rPr>
          <w:noProof/>
        </w:rPr>
        <w:t>Διαχείριση των αποβλήτων</w:t>
      </w:r>
      <w:bookmarkEnd w:id="22"/>
      <w:bookmarkEnd w:id="23"/>
      <w:bookmarkEnd w:id="24"/>
      <w:bookmarkEnd w:id="25"/>
      <w:bookmarkEnd w:id="26"/>
    </w:p>
    <w:p w:rsidR="00EE1CB7" w:rsidRDefault="0034634B">
      <w:pPr>
        <w:widowControl w:val="0"/>
        <w:shd w:val="clear" w:color="auto" w:fill="4F81BD" w:themeFill="accent1"/>
        <w:spacing w:after="0"/>
        <w:rPr>
          <w:rFonts w:cstheme="minorHAnsi"/>
          <w:noProof/>
          <w:color w:val="FFFFFF" w:themeColor="background1"/>
          <w:szCs w:val="20"/>
        </w:rPr>
      </w:pPr>
      <w:r>
        <w:rPr>
          <w:rFonts w:cstheme="minorHAnsi"/>
          <w:noProof/>
          <w:color w:val="FFFFFF" w:themeColor="background1"/>
        </w:rPr>
        <w:t>Η μετατροπή των αποβλήτων σε αξιοποιήσιμο πόρο προϋποθέτει:</w:t>
      </w:r>
    </w:p>
    <w:p w:rsidR="00EE1CB7" w:rsidRDefault="0034634B">
      <w:pPr>
        <w:widowControl w:val="0"/>
        <w:shd w:val="clear" w:color="auto" w:fill="4F81BD" w:themeFill="accent1"/>
        <w:spacing w:after="0"/>
        <w:rPr>
          <w:rFonts w:cstheme="minorHAnsi"/>
          <w:noProof/>
          <w:color w:val="FFFFFF" w:themeColor="background1"/>
          <w:szCs w:val="20"/>
        </w:rPr>
      </w:pPr>
      <w:r>
        <w:rPr>
          <w:rFonts w:cstheme="minorHAnsi"/>
          <w:noProof/>
          <w:color w:val="FFFFFF" w:themeColor="background1"/>
        </w:rPr>
        <w:t xml:space="preserve">i) πλήρη εφαρμογή της ενωσιακής νομοθεσίας για τα </w:t>
      </w:r>
      <w:r>
        <w:rPr>
          <w:rFonts w:cstheme="minorHAnsi"/>
          <w:noProof/>
          <w:color w:val="FFFFFF" w:themeColor="background1"/>
        </w:rPr>
        <w:t>απόβλητα, η οποία περιλαμβάνει την ιεράρχηση των αποβλήτων, την ανάγκη να διασφαλιστεί η χωριστή αποκομιδή των αποβλήτων, τους στόχους εκτροπής από την υγειονομική ταφή κ.λπ.·</w:t>
      </w:r>
    </w:p>
    <w:p w:rsidR="00EE1CB7" w:rsidRDefault="0034634B">
      <w:pPr>
        <w:widowControl w:val="0"/>
        <w:shd w:val="clear" w:color="auto" w:fill="4F81BD" w:themeFill="accent1"/>
        <w:spacing w:after="0"/>
        <w:rPr>
          <w:rFonts w:cstheme="minorHAnsi"/>
          <w:noProof/>
          <w:color w:val="FFFFFF" w:themeColor="background1"/>
          <w:szCs w:val="20"/>
        </w:rPr>
      </w:pPr>
      <w:r>
        <w:rPr>
          <w:rFonts w:cstheme="minorHAnsi"/>
          <w:noProof/>
          <w:color w:val="FFFFFF" w:themeColor="background1"/>
        </w:rPr>
        <w:t xml:space="preserve">ii) μείωση της παραγωγής αποβλήτων και της κατά κεφαλήν παραγωγής αποβλήτων σε απόλυτους αριθμούς· και </w:t>
      </w:r>
    </w:p>
    <w:p w:rsidR="00EE1CB7" w:rsidRDefault="0034634B">
      <w:pPr>
        <w:widowControl w:val="0"/>
        <w:shd w:val="clear" w:color="auto" w:fill="4F81BD" w:themeFill="accent1"/>
        <w:spacing w:after="240"/>
        <w:rPr>
          <w:rFonts w:cstheme="minorHAnsi"/>
          <w:noProof/>
          <w:color w:val="FFFFFF" w:themeColor="background1"/>
          <w:szCs w:val="20"/>
        </w:rPr>
      </w:pPr>
      <w:r>
        <w:rPr>
          <w:rFonts w:cstheme="minorHAnsi"/>
          <w:noProof/>
          <w:color w:val="FFFFFF" w:themeColor="background1"/>
        </w:rPr>
        <w:t>iii) περιορισμό της ανάκτησης ενέργειας στα μη ανακυκλώσιμα υλικά και σταδιακή κατάργηση της υγειονομικής ταφής των ανακυκλώσιμων ή αξιοποιήσιμων αποβλήτων.</w:t>
      </w:r>
    </w:p>
    <w:p w:rsidR="00EE1CB7" w:rsidRDefault="0034634B">
      <w:pPr>
        <w:rPr>
          <w:rFonts w:eastAsia="Calibri,Times New Roman" w:cs="Calibri,Times New Roman"/>
          <w:noProof/>
        </w:rPr>
      </w:pPr>
      <w:r>
        <w:rPr>
          <w:noProof/>
        </w:rPr>
        <w:t>Η παρούσα ενότητα εστιάζει στη διαχείριση των αστικών αποβλήτων</w:t>
      </w:r>
      <w:r>
        <w:rPr>
          <w:rStyle w:val="ae"/>
          <w:noProof/>
        </w:rPr>
        <w:footnoteReference w:id="13"/>
      </w:r>
      <w:r>
        <w:rPr>
          <w:noProof/>
        </w:rPr>
        <w:t xml:space="preserve"> για τα οποία η ενωσιακή νομοθεσία ορίζει υποχρεωτικούς στόχους ανακύκλωσης</w:t>
      </w:r>
      <w:r>
        <w:rPr>
          <w:rStyle w:val="ae"/>
          <w:noProof/>
        </w:rPr>
        <w:footnoteReference w:id="14"/>
      </w:r>
      <w:r>
        <w:rPr>
          <w:noProof/>
        </w:rPr>
        <w:t>.</w:t>
      </w:r>
    </w:p>
    <w:p w:rsidR="00EE1CB7" w:rsidRDefault="0034634B">
      <w:pPr>
        <w:rPr>
          <w:noProof/>
        </w:rPr>
      </w:pPr>
      <w:r>
        <w:rPr>
          <w:noProof/>
        </w:rPr>
        <w:t>Ενόψει των πρόσφατα εγκριθέντων στόχων ανακύκλωσης για την περίοδο μετά το 2020 για τα αστικά απόβλητα (55 % έως το 2025, 60 % έως το 2030 και 65 % έως το 2035), η Ελλάδα θα χρειαστεί να καταβάλει περισσότερη προσπάθεια για μετατόπιση της διάθεσης των αποβλήτων από τους χώρους υγειονομικής ταφής στην ανακύκλωση.</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4634B" w:rsidTr="0034634B">
        <w:tc>
          <w:tcPr>
            <w:tcW w:w="4909" w:type="dxa"/>
          </w:tcPr>
          <w:p w:rsidR="0034634B" w:rsidRDefault="0034634B" w:rsidP="0034634B">
            <w:pPr>
              <w:rPr>
                <w:b/>
                <w:bCs/>
                <w:noProof/>
              </w:rPr>
            </w:pPr>
            <w:r>
              <w:rPr>
                <w:b/>
                <w:noProof/>
                <w:color w:val="1F497D" w:themeColor="text2"/>
              </w:rPr>
              <w:t>Διάγραμμα 5: Αστικά απόβλητα ανά τύπο επεξεργασίας στην Ελλάδα, 2010-2017</w:t>
            </w:r>
            <w:r>
              <w:rPr>
                <w:rStyle w:val="ae"/>
                <w:noProof/>
              </w:rPr>
              <w:footnoteReference w:id="15"/>
            </w:r>
          </w:p>
        </w:tc>
      </w:tr>
      <w:tr w:rsidR="0034634B" w:rsidTr="0034634B">
        <w:tc>
          <w:tcPr>
            <w:tcW w:w="4909" w:type="dxa"/>
          </w:tcPr>
          <w:p w:rsidR="0034634B" w:rsidRDefault="0034634B" w:rsidP="0034634B">
            <w:pPr>
              <w:widowControl w:val="0"/>
              <w:jc w:val="center"/>
              <w:rPr>
                <w:rFonts w:cs="Times New Roman"/>
                <w:i/>
                <w:noProof/>
              </w:rPr>
            </w:pPr>
            <w:r>
              <w:rPr>
                <w:rFonts w:cs="Times New Roman"/>
                <w:i/>
                <w:noProof/>
                <w:lang w:bidi="ar-SA"/>
              </w:rPr>
              <w:drawing>
                <wp:inline distT="0" distB="0" distL="0" distR="0" wp14:anchorId="20C580FE" wp14:editId="53F25249">
                  <wp:extent cx="2985770" cy="259778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85770" cy="2597785"/>
                          </a:xfrm>
                          <a:prstGeom prst="rect">
                            <a:avLst/>
                          </a:prstGeom>
                          <a:noFill/>
                          <a:ln>
                            <a:noFill/>
                          </a:ln>
                        </pic:spPr>
                      </pic:pic>
                    </a:graphicData>
                  </a:graphic>
                </wp:inline>
              </w:drawing>
            </w:r>
          </w:p>
        </w:tc>
      </w:tr>
    </w:tbl>
    <w:p w:rsidR="00EE1CB7" w:rsidRDefault="0034634B">
      <w:pPr>
        <w:rPr>
          <w:noProof/>
        </w:rPr>
      </w:pPr>
      <w:r>
        <w:rPr>
          <w:noProof/>
        </w:rPr>
        <w:t xml:space="preserve">Στην Ελλάδα, υπάρχουν μείζονα διαρθρωτικά προβλήματα όσον αφορά τη διαχείριση των αποβλήτων. </w:t>
      </w:r>
      <w:r>
        <w:rPr>
          <w:noProof/>
        </w:rPr>
        <w:lastRenderedPageBreak/>
        <w:t>Η παραγωγή αστικών αποβλήτων παραμένει στο ίδιο επίπεδο κατά τα τελευταία χρόνια, ενώ βρίσκεται λίγο πάνω από τον μέσο όρο της ΕΕ για το 2017 (504 kg έναντι περίπου 487 kg/έτος/κάτοικο) (βλ. διάγραμμα 5). Από την ΕΕΠΠ του 2017, η κατάσταση έχει μεταβληθεί ελάχιστα. Η Ελλάδα απορρίπτει την πλειονότητα των αστικών αποβλήτων της σε χώρους υγειονομικής ταφής (80 %, έναντι μέσου όρου ΕΕ 24 %), ενώ μόλις 19 % ανακυκλώνεται (μέσος όρος ΕΕ: 46 %). Το ποσοστό υγειονομικής ταφής σημείωσε μέτρια μείωση και το ποσοστό ανακύκλωσης αυξήθηκε ελαφρώς.</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4634B" w:rsidTr="0034634B">
        <w:tc>
          <w:tcPr>
            <w:tcW w:w="4909" w:type="dxa"/>
          </w:tcPr>
          <w:p w:rsidR="0034634B" w:rsidRDefault="0034634B" w:rsidP="0034634B">
            <w:pPr>
              <w:rPr>
                <w:b/>
                <w:bCs/>
                <w:noProof/>
              </w:rPr>
            </w:pPr>
            <w:r>
              <w:rPr>
                <w:b/>
                <w:noProof/>
                <w:color w:val="1F497D" w:themeColor="text2"/>
              </w:rPr>
              <w:t>Διάγραμμα 6: Ποσοστό ανακύκλωσης αστικών αποβλήτων κατά την περίοδο 2010-2017</w:t>
            </w:r>
            <w:r>
              <w:rPr>
                <w:rStyle w:val="ae"/>
                <w:noProof/>
              </w:rPr>
              <w:footnoteReference w:id="16"/>
            </w:r>
          </w:p>
        </w:tc>
      </w:tr>
      <w:tr w:rsidR="0034634B" w:rsidTr="0034634B">
        <w:tc>
          <w:tcPr>
            <w:tcW w:w="4909" w:type="dxa"/>
          </w:tcPr>
          <w:p w:rsidR="0034634B" w:rsidRDefault="0034634B" w:rsidP="0034634B">
            <w:pPr>
              <w:widowControl w:val="0"/>
              <w:jc w:val="center"/>
              <w:rPr>
                <w:rFonts w:cs="Times New Roman"/>
                <w:i/>
                <w:noProof/>
              </w:rPr>
            </w:pPr>
            <w:r>
              <w:rPr>
                <w:rFonts w:cs="Times New Roman"/>
                <w:i/>
                <w:noProof/>
                <w:lang w:bidi="ar-SA"/>
              </w:rPr>
              <w:drawing>
                <wp:inline distT="0" distB="0" distL="0" distR="0" wp14:anchorId="7F30EA6C" wp14:editId="129E2168">
                  <wp:extent cx="2971800" cy="25355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71800" cy="2535555"/>
                          </a:xfrm>
                          <a:prstGeom prst="rect">
                            <a:avLst/>
                          </a:prstGeom>
                          <a:noFill/>
                          <a:ln>
                            <a:noFill/>
                          </a:ln>
                        </pic:spPr>
                      </pic:pic>
                    </a:graphicData>
                  </a:graphic>
                </wp:inline>
              </w:drawing>
            </w:r>
          </w:p>
        </w:tc>
      </w:tr>
    </w:tbl>
    <w:p w:rsidR="00EE1CB7" w:rsidRDefault="0034634B">
      <w:pPr>
        <w:rPr>
          <w:rFonts w:eastAsia="Calibri" w:cs="Calibri"/>
          <w:noProof/>
        </w:rPr>
      </w:pPr>
      <w:r>
        <w:rPr>
          <w:noProof/>
        </w:rPr>
        <w:t>Όπως φαίνεται στο διάγραμμα 6, η Ελλάδα διατρέχει κίνδυνο μη επίτευξης του στόχου για ανακύκλωση του 50 % των αστικών αποβλήτων έως το 2020. Ως εκ τούτου, η Επιτροπή εξέδωσε «έκθεση έγκαιρης προειδοποίησης»</w:t>
      </w:r>
      <w:r>
        <w:rPr>
          <w:rStyle w:val="ae"/>
          <w:noProof/>
        </w:rPr>
        <w:footnoteReference w:id="17"/>
      </w:r>
      <w:r>
        <w:rPr>
          <w:rFonts w:ascii="Times New Roman,Calibri" w:hAnsi="Times New Roman,Calibri"/>
          <w:noProof/>
        </w:rPr>
        <w:t xml:space="preserve"> </w:t>
      </w:r>
      <w:r>
        <w:rPr>
          <w:noProof/>
        </w:rPr>
        <w:t>για την Ελλάδα, στην οποία προβλέπονται συγκεκριμένες δράσεις προτεραιότητας για την κάλυψη του κενού εφαρμογής.  Η Ελλάδα πρέπει επίσης να καταβάλει σημαντική προσπάθεια για τη συμμόρφωση με τους στόχους ανακύκλωσης για την περίοδο μετά το 2020</w:t>
      </w:r>
      <w:r>
        <w:rPr>
          <w:rStyle w:val="ae"/>
          <w:noProof/>
        </w:rPr>
        <w:footnoteReference w:id="18"/>
      </w:r>
      <w:r>
        <w:rPr>
          <w:noProof/>
        </w:rPr>
        <w:t>.</w:t>
      </w:r>
    </w:p>
    <w:p w:rsidR="00EE1CB7" w:rsidRDefault="0034634B">
      <w:pPr>
        <w:rPr>
          <w:noProof/>
        </w:rPr>
      </w:pPr>
      <w:r>
        <w:rPr>
          <w:noProof/>
        </w:rPr>
        <w:t>Το 2012 η Ελλάδα εξέδωσε νόμο για τον φόρο υγειονομικής ταφής, ωστόσο η εφαρμογή του αναβλήθηκε έως το 2019 το νωρίτερο. Εντωμεταξύ, η τιμή ανάληψης για την υγειονομική ταφή (landfill gate fee), η οποία είναι χαμηλή επί του παρόντος, από κοινού με τους φθηνούς παράνομους χώρους υγειονομικής ταφής, αποτελούν παράγοντες που αποθαρρύνουν την ανακύκλωση έναντι της διάθεσης των αποβλήτων. Τα διαθέσιμα οικονομικά μέσα δεν επαρκούν και τα συστήματα που εφαρμόζονται επί του παρόντος είναι αναποτελεσματικά. Το σύστημα «πληρωμής κατά την απόρριψη» (pay-as-you-throw – PAYT) του 2012 για τη μείωση των αποβλήτων στους χώρους υγειονομικής ταφής και την ενθάρρυνση των πολιτών να διαχωρίζουν τα απορρίμματα για χωριστή συλλογή δεν εφαρμόζεται ακόμη.</w:t>
      </w:r>
    </w:p>
    <w:p w:rsidR="00EE1CB7" w:rsidRDefault="0034634B">
      <w:pPr>
        <w:widowControl w:val="0"/>
        <w:rPr>
          <w:rFonts w:eastAsia="Times New Roman" w:cs="Times New Roman"/>
          <w:noProof/>
        </w:rPr>
      </w:pPr>
      <w:r>
        <w:rPr>
          <w:noProof/>
        </w:rPr>
        <w:t xml:space="preserve">Πρέπει να ληφθούν πρόσθετα μέτρα για την εκτροπή των βιοδιασπώμενων αποβλήτων από τους χώρους υγειονομικής ταφής και τη θέσπιση και παρακολούθηση υποδομής και συστημάτων για τη χωριστή συλλογή «πόρτα-πόρτα». Προς το παρόν δεν υφίστανται συστήματα κινήτρων που προάγουν την πρόληψη και συμμετοχή στη χωριστή συλλογή (συστήματα PAYT), ενώ συγκεκριμένα κίνητρα προς τοπικές αρχές ώστε να εφαρμόζουν τη χωριστή συλλογή βρίσκονται στο στάδιο της ανάπτυξης. </w:t>
      </w:r>
    </w:p>
    <w:p w:rsidR="00EE1CB7" w:rsidRDefault="0034634B">
      <w:pPr>
        <w:widowControl w:val="0"/>
        <w:rPr>
          <w:noProof/>
        </w:rPr>
      </w:pPr>
      <w:r>
        <w:rPr>
          <w:noProof/>
        </w:rPr>
        <w:t>Από τη θετική πλευρά, η Ελλάδα έχει σημειώσει πρόοδο από νομική και πρακτική άποψη όσον αφορά την αύξηση της ανακύκλωσης αποβλήτων και την επέκταση των προγραμμάτων ΔΕΠ. Για παράδειγμα, μείωσε τη διάθεση αποβλήτων σε μη συμμορφούμενους χώρους υγειονομικής ταφής. Το 2015 το σχετικό ποσοστό μειώθηκε σε λιγότερο από 4 % των συνολικών αποβλήτων που διατέθηκαν. Σύντομα, πρόκειται να εφαρμοστεί επιχειρησιακό σχέδιο για τη ΔΕΠ, βάσει του οποίου θα θεσπίζεται χρηματοδότηση για διάφορα συστήματα συσκευασίας ΔΕΠ. Τα τοπικά σχέδια διαχείρισης (αστικών) αποβλήτων, που ενσωματώθηκαν στα περιφερειακά σχέδια, θέτουν ως βασικό στόχο τη χωριστή συλλογή των βιολογικών αποβλήτων. Η Ελλάδα έχει προγραμματίσει τη διάθεση μεγάλου ποσοστού των ενωσιακών κονδυλίων σε μέτρα και υποδομές διαχείρισης αποβλήτων —πιο συγκεκριμένα, ολοκληρωμένες εγκαταστάσεις επεξεργασίας αποβλήτων και προγράμματα διαχωρισμού στην πηγή. Ωστόσο, υπάρχουν αμφιβολίες για το κατά πόσον οι δαπάνες για την επεξεργασία υπολειμματικών αποβλήτων στα κατώτατα επίπεδα της ιεράρχησης των αποβλήτων είναι υπερβολικά υψηλές σε σύγκριση με τις δαπάνες για υποδομές. Πρέπει να επιδειχθεί προσοχή προκειμένου να μην υπάρξει μετατόπιση της διάθεσης των αποβλήτων από χώρους υγειονομικής ταφής σε χαμηλής ποιότητας εγκαταστάσεις μηχανικής και βιολογικής επεξεργασίας (επί του παρόντος, προβλέπονται 49 μονάδες ΜΒΕ).</w:t>
      </w:r>
    </w:p>
    <w:p w:rsidR="00EE1CB7" w:rsidRDefault="0034634B">
      <w:pPr>
        <w:widowControl w:val="0"/>
        <w:rPr>
          <w:rFonts w:eastAsia="Times New Roman" w:cs="Times New Roman"/>
          <w:noProof/>
        </w:rPr>
      </w:pPr>
      <w:r>
        <w:rPr>
          <w:noProof/>
        </w:rPr>
        <w:lastRenderedPageBreak/>
        <w:t>Παρά τον φιλόδοξο στόχο του εθνικού σχεδίου διαχείρισης αποβλήτων για επίτευξη ποσοστού ανακύκλωσης βιολογικών αποβλήτων 40 %, η επίτευξη ποσοστού άνω του 8-10 % έως το 2020 φαίνεται απίθανη, ιδίως χωρίς επαρκή υποδομή επεξεργασίας.</w:t>
      </w:r>
    </w:p>
    <w:p w:rsidR="00EE1CB7" w:rsidRDefault="0034634B">
      <w:pPr>
        <w:widowControl w:val="0"/>
        <w:rPr>
          <w:noProof/>
        </w:rPr>
      </w:pPr>
      <w:r>
        <w:rPr>
          <w:noProof/>
        </w:rPr>
        <w:t>Στην «έκθεση έγκαιρης προειδοποίησης» για την Ελλάδα τονίζεται η σημασία της παροχής συνδρομής στις τοπικές αρχές ώστε να αυξήσουν τις δεξιότητες του προσωπικού τους. Στην εν λόγω έκθεση παρέχονται συστάσεις για την ενίσχυση της αποτελεσματικότητας των συστημάτων ΔΕΠ και, επίσης, υπογραμμίζεται η ανάγκη βελτίωσης της ποιότητας των δεδομένων που αφορούν τη συσκευασία, τα οποία αναφέρονται από τους παραγωγούς. Τέλος, προτείνεται η αποτελεσματική αξιοποίηση των ενωσιακών κονδυλίων για την υποστήριξη της χωριστής συλλογής, της ανακύκλωσης και της κομποστοποίησης.</w:t>
      </w:r>
    </w:p>
    <w:p w:rsidR="00EE1CB7" w:rsidRDefault="0034634B">
      <w:pPr>
        <w:rPr>
          <w:noProof/>
          <w:color w:val="1F497D" w:themeColor="text2"/>
          <w:sz w:val="22"/>
        </w:rPr>
      </w:pPr>
      <w:r>
        <w:rPr>
          <w:noProof/>
          <w:color w:val="1F497D" w:themeColor="text2"/>
          <w:sz w:val="22"/>
        </w:rPr>
        <w:t>Δράσεις προτεραιότητας για το 2019</w:t>
      </w:r>
    </w:p>
    <w:p w:rsidR="00EE1CB7" w:rsidRDefault="0034634B">
      <w:pPr>
        <w:pStyle w:val="SuggActions"/>
      </w:pPr>
      <w:r>
        <w:t>Αντιμετώπιση, κατά απόλυτη προτεραιότητα, των ζητημάτων οριστικής παύσης λειτουργίας και αποκατάστασης των παράνομων χώρων υγειονομικής ταφής και των ζητημάτων επεξεργασίας επικίνδυνων αποβλήτων.</w:t>
      </w:r>
    </w:p>
    <w:p w:rsidR="00EE1CB7" w:rsidRDefault="0034634B">
      <w:pPr>
        <w:pStyle w:val="SuggActions"/>
      </w:pPr>
      <w:r>
        <w:t xml:space="preserve">Ορθή επιβολή και αύξηση των φόρων υγειονομικής ταφής, με στόχο τη σταδιακή κατάργηση της υγειονομικής ταφής των ανακυκλώσιμων και ανακτήσιμων αποβλήτων. Διοχέτευση των εν λόγω εσόδων σε μέτρα που βελτιώνουν τη διαχείριση των αποβλήτων σύμφωνα με την ιεράρχηση των αποβλήτων. </w:t>
      </w:r>
    </w:p>
    <w:p w:rsidR="00EE1CB7" w:rsidRDefault="0034634B">
      <w:pPr>
        <w:pStyle w:val="SuggActions"/>
      </w:pPr>
      <w:r>
        <w:t>Αποφυγή της δημιουργίας πλεονάζουσας χωρητικότητας υποδομών για την επεξεργασία υπολειμματικών αποβλήτων, π.χ. εγκαταστάσεις μηχανικής και βιολογικής επεξεργασίας (ΜΒΕ) ή αποτεφρωτήρες.</w:t>
      </w:r>
    </w:p>
    <w:p w:rsidR="00EE1CB7" w:rsidRDefault="0034634B">
      <w:pPr>
        <w:pStyle w:val="SuggActions"/>
      </w:pPr>
      <w:r>
        <w:t>Βελτίωση και επέκταση της χωριστής συλλογής αποβλήτων, συμπεριλαμβανομένων βιολογικών αποβλήτων. Θέσπιση ελάχιστων προτύπων υπηρεσιών για τη χωριστή συλλογή (π.χ. συχνότητα συλλογής, είδη κάδων κ.λπ.) στους δήμους, προκειμένου να διασφαλίζονται υψηλά ποσοστά συλλογής ανακυκλώσιμων αποβλήτων. Αξιοποίηση των διαθέσιμων οικονομικών μέσων, π.χ. συστήματα «πληρωμής κατά την απόρριψη» και υποχρεωτικοί στόχοι ανακύκλωσης για δήμους, με κυρώσεις για τη μη συμμόρφωση (π.χ. πρόστιμα).</w:t>
      </w:r>
    </w:p>
    <w:p w:rsidR="00EE1CB7" w:rsidRDefault="0034634B">
      <w:pPr>
        <w:pStyle w:val="SuggActions"/>
        <w:rPr>
          <w:i/>
          <w:iCs/>
        </w:rPr>
      </w:pPr>
      <w:r>
        <w:t>Βελτίωση της αποδοτικότητας των συστημάτων διευρυμένης ευθύνης του παραγωγού, σύμφωνα με τις γενικές ελάχιστες απαιτήσεις για τη ΔΕΠ</w:t>
      </w:r>
      <w:r>
        <w:rPr>
          <w:rStyle w:val="ae"/>
        </w:rPr>
        <w:footnoteReference w:id="19"/>
      </w:r>
      <w:r>
        <w:t>.</w:t>
      </w:r>
    </w:p>
    <w:p w:rsidR="00EE1CB7" w:rsidRDefault="0034634B">
      <w:pPr>
        <w:pStyle w:val="21"/>
        <w:rPr>
          <w:noProof/>
        </w:rPr>
      </w:pPr>
      <w:bookmarkStart w:id="27" w:name="_Toc508706644"/>
      <w:bookmarkStart w:id="28" w:name="_Toc509391836"/>
      <w:bookmarkStart w:id="29" w:name="_Toc509824970"/>
      <w:bookmarkStart w:id="30" w:name="_Toc525660369"/>
      <w:bookmarkStart w:id="31" w:name="_Toc546015"/>
      <w:bookmarkStart w:id="32" w:name="_Toc13470658"/>
      <w:r>
        <w:rPr>
          <w:noProof/>
        </w:rPr>
        <w:br w:type="column"/>
      </w:r>
      <w:r>
        <w:rPr>
          <w:noProof/>
        </w:rPr>
        <w:t>Κλιματική αλλαγή</w:t>
      </w:r>
      <w:bookmarkEnd w:id="27"/>
      <w:bookmarkEnd w:id="28"/>
      <w:bookmarkEnd w:id="29"/>
      <w:bookmarkEnd w:id="30"/>
      <w:bookmarkEnd w:id="31"/>
      <w:bookmarkEnd w:id="32"/>
    </w:p>
    <w:p w:rsidR="00EE1CB7" w:rsidRDefault="0034634B">
      <w:pPr>
        <w:widowControl w:val="0"/>
        <w:shd w:val="clear" w:color="auto" w:fill="4F81BD" w:themeFill="accent1"/>
        <w:spacing w:after="240"/>
        <w:rPr>
          <w:rFonts w:cstheme="minorHAnsi"/>
          <w:noProof/>
          <w:color w:val="FFFFFF" w:themeColor="background1"/>
          <w:szCs w:val="20"/>
        </w:rPr>
      </w:pPr>
      <w:r>
        <w:rPr>
          <w:rFonts w:cstheme="minorHAnsi"/>
          <w:noProof/>
          <w:color w:val="FFFFFF" w:themeColor="background1"/>
        </w:rPr>
        <w:t>Η ΕΕ έχει δεσμευτεί να αναλάβει φιλόδοξη δράση για το κλίμα τόσο σε διεθνές επίπεδο όσο και εντός ΕΕ, με την επικύρωση της συμφωνίας του Παρισιού για το κλίμα στις 5 Οκτωβρίου 2016. Οι στόχοι της ΕΕ αφορούν τη μείωση εκπομπών αερίων θερμοκηπίου κατά 20 % έως το 2020 και τουλάχιστον κατά 40 % έως το 2030, σε σύγκριση με το 1990. Η ΕΕ έχει θέσει ως μακροπρόθεσμο στόχο τη μείωση των εκπομπών της κατά 80-95 % έως το 2050, στο πλαίσιο των προσπαθειών που απαιτούνται από τις ανεπτυγμένες χώρες ως ομάδα. Η προσαρμογή στις δυσμενείς επιπτώσεις της κλιματικής αλλαγής είναι ζωτικής σημασίας για την άμβλυνση των ήδη ορατών επιπτώσεών της και τη βελτίωση της ετοιμότητας και της ανθεκτικότητας στις μελλοντικές επιπτώσεις.</w:t>
      </w:r>
    </w:p>
    <w:p w:rsidR="00EE1CB7" w:rsidRDefault="0034634B">
      <w:pPr>
        <w:rPr>
          <w:noProof/>
        </w:rPr>
      </w:pPr>
      <w:r>
        <w:rPr>
          <w:noProof/>
        </w:rPr>
        <w:t>Το σύστημα εμπορίας δικαιωμάτων εκπομπής αερίων θερμοκηπίου εντός της Ένωσης (ΣΕΔΕ της ΕΕ) καλύπτει όλες τις μείζονες πηγές εκπομπών αερίων θερμοκηπίου στους τομείς της βιομηχανίας, της ενέργειας και της αεροπορίας στην ΕΕ. Το ΣΕΔΕ της ΕΕ ισχύει σε όλα τα κράτη μέλη και χαρακτηρίζεται από πολύ μεγάλο ποσοστό συμμόρφωσης. Κάθε χρόνο, οι εγκαταστάσεις καλύπτουν περίπου το 99 % των εκπομπών τους με τον απαιτούμενο αριθμό δικαιωμάτων.</w:t>
      </w:r>
    </w:p>
    <w:tbl>
      <w:tblPr>
        <w:tblStyle w:val="af1"/>
        <w:tblW w:w="50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7"/>
      </w:tblGrid>
      <w:tr w:rsidR="0034634B" w:rsidTr="0034634B">
        <w:tc>
          <w:tcPr>
            <w:tcW w:w="4909" w:type="dxa"/>
          </w:tcPr>
          <w:p w:rsidR="0034634B" w:rsidRDefault="0034634B" w:rsidP="0034634B">
            <w:pPr>
              <w:suppressAutoHyphens/>
              <w:rPr>
                <w:noProof/>
              </w:rPr>
            </w:pPr>
            <w:r>
              <w:rPr>
                <w:b/>
                <w:noProof/>
                <w:color w:val="1F497D"/>
              </w:rPr>
              <w:t>Διάγραμμα 7: Μεταβολή στο σύνολο των εκπομπών αερίων θερμοκηπίου 1990-2017 (1990=100 %)</w:t>
            </w:r>
            <w:r>
              <w:rPr>
                <w:b/>
                <w:noProof/>
                <w:color w:val="1F497D"/>
                <w:vertAlign w:val="superscript"/>
              </w:rPr>
              <w:footnoteReference w:id="20"/>
            </w:r>
            <w:r>
              <w:rPr>
                <w:b/>
                <w:noProof/>
                <w:color w:val="1F497D"/>
              </w:rPr>
              <w:t>.</w:t>
            </w:r>
          </w:p>
        </w:tc>
      </w:tr>
      <w:tr w:rsidR="0034634B" w:rsidTr="0034634B">
        <w:tc>
          <w:tcPr>
            <w:tcW w:w="4909" w:type="dxa"/>
          </w:tcPr>
          <w:p w:rsidR="0034634B" w:rsidRDefault="0034634B" w:rsidP="0034634B">
            <w:pPr>
              <w:suppressAutoHyphens/>
              <w:jc w:val="center"/>
              <w:rPr>
                <w:noProof/>
              </w:rPr>
            </w:pPr>
            <w:r>
              <w:rPr>
                <w:noProof/>
                <w:lang w:bidi="ar-SA"/>
              </w:rPr>
              <w:drawing>
                <wp:inline distT="0" distB="0" distL="0" distR="0" wp14:anchorId="091E19AF" wp14:editId="62CC03FF">
                  <wp:extent cx="2542394" cy="2620267"/>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51860" cy="2630022"/>
                          </a:xfrm>
                          <a:prstGeom prst="rect">
                            <a:avLst/>
                          </a:prstGeom>
                          <a:noFill/>
                          <a:ln>
                            <a:noFill/>
                          </a:ln>
                        </pic:spPr>
                      </pic:pic>
                    </a:graphicData>
                  </a:graphic>
                </wp:inline>
              </w:drawing>
            </w:r>
          </w:p>
        </w:tc>
      </w:tr>
    </w:tbl>
    <w:p w:rsidR="0034634B" w:rsidRPr="0034634B" w:rsidRDefault="0034634B">
      <w:pPr>
        <w:suppressAutoHyphens/>
        <w:rPr>
          <w:rFonts w:ascii="Calibri" w:hAnsi="Calibri"/>
          <w:noProof/>
        </w:rPr>
      </w:pPr>
      <w:r>
        <w:rPr>
          <w:rFonts w:ascii="Calibri" w:hAnsi="Calibri"/>
          <w:noProof/>
        </w:rPr>
        <w:lastRenderedPageBreak/>
        <w:t>Για εκπομπές που δεν καλύπτονται από το ΣΕΔΕ της ΕΕ, τα κράτη μέλη διαθέτουν δεσμευτικούς εθνικούς στόχους βάσει της νομοθεσίας για τον επιμερισμό των προσπαθειών. Σε καθένα από τα έτη 2013-2017, η Ελλάδα είχε σημαντικά χαμηλότερες εκπομπές σε σύγκριση με τα οικεία ετήσια δικαιώματα εκπομπής (AEA). Για το 2020, ο εθνικός στόχος της Ελλάδας βάσει της απόφασης επιμερισμού των προσπαθειών της ΕΕ είναι η μείωση των εκπομπών κατά 4 % σε σύγκριση με το 2005. Για το 2030, ο εθνικός στόχος της Ελλάδας βάσει της απόφασης επιμερισμού των προσπαθειών είναι η μείωση των εκπομπών κατά 16 % σε σύγκριση με το 2005.</w:t>
      </w:r>
      <w:r>
        <w:rPr>
          <w:noProof/>
        </w:rPr>
        <w:t xml:space="preserve"> </w:t>
      </w:r>
      <w:r>
        <w:rPr>
          <w:rFonts w:ascii="Calibri" w:hAnsi="Calibri"/>
          <w:noProof/>
        </w:rPr>
        <w:t xml:space="preserve">Σύμφωνα με τις πλέον πρόσφατες προβλέψεις της, η Ελλάδα αναμένεται να υπερβεί τον στόχο της για το 2020 βάσει της απόφασης επιμερισμού των προσπαθειών κατά 18 % (-22% έναντι στόχου -4%) και τον στόχο της για το 2030 βάσει του κανονισμού για τον επιμερισμό των προσπαθειών κατά 7%. </w:t>
      </w:r>
    </w:p>
    <w:p w:rsidR="00EE1CB7" w:rsidRDefault="0034634B">
      <w:pPr>
        <w:suppressAutoHyphens/>
        <w:rPr>
          <w:rFonts w:ascii="Calibri" w:eastAsia="Calibri" w:hAnsi="Calibri" w:cs="Times New Roman"/>
          <w:noProof/>
        </w:rPr>
      </w:pPr>
      <w:r>
        <w:rPr>
          <w:rFonts w:ascii="Calibri" w:hAnsi="Calibri"/>
          <w:noProof/>
        </w:rPr>
        <w:t xml:space="preserve">Παρόλα αυτά, το επίπεδο έντασης του άνθρακα στη χώρα παραμένει υψηλό σε σύγκριση με άλλα κράτη μέλη. Ως εκ τούτου, ενθαρρύνεται η ανάληψη πρόσθετων προσπαθειών. Για εκπομπές που καλύπτονται από το ΣΕΔΕ της ΕΕ: στην Ελλάδα, περίπου 145 μονάδες και 20 φορείς εκμετάλλευσης αεροσκαφών είναι καταχωρισμένα στο ΣΕΔΕ της ΕΕ. Τα συνολικά έσοδα από τον πλειστηριασμό δικαιωμάτων εκπομπής στο πλαίσιο του ΣΕΔΕ της ΕΕ κατά την περίοδο 2013-2017 ήταν 820 εκατ. EUR. Το 92 % των εσόδων από τον πλειστηριασμό δαπανήθηκαν για σκοπούς που σχετίζονται με το κλίμα και την ενέργεια. </w:t>
      </w:r>
    </w:p>
    <w:p w:rsidR="0034634B" w:rsidRDefault="00A503E6">
      <w:pPr>
        <w:suppressAutoHyphens/>
        <w:rPr>
          <w:rFonts w:ascii="Calibri" w:hAnsi="Calibri"/>
          <w:noProof/>
        </w:rPr>
      </w:pPr>
      <w:hyperlink r:id="rId69"/>
      <w:r w:rsidR="0034634B">
        <w:rPr>
          <w:noProof/>
          <w:color w:val="000000"/>
        </w:rPr>
        <w:t xml:space="preserve">Ο τομέας των μεταφορών αντιπροσωπεύει στην ΕΕ σχεδόν το ένα τέταρτο των εκπομπών αερίων θερμοκηπίου και αποτελεί την πρωταρχική αιτία της ατμοσφαιρικής ρύπανσης στα αστικά κέντρα. </w:t>
      </w:r>
      <w:r w:rsidR="0034634B">
        <w:rPr>
          <w:rFonts w:ascii="Calibri" w:hAnsi="Calibri"/>
          <w:noProof/>
        </w:rPr>
        <w:t>Από το 2013 έως το 2016, οι εκπομπές από τις μεταφορές στην Ελλάδα αυξήθηκαν κατά 6 %.</w:t>
      </w:r>
      <w:r w:rsidR="0034634B" w:rsidRPr="0034634B">
        <w:rPr>
          <w:rFonts w:ascii="Calibri" w:hAnsi="Calibri"/>
          <w:noProof/>
        </w:rPr>
        <w:t xml:space="preserve"> </w:t>
      </w:r>
    </w:p>
    <w:p w:rsidR="00EE1CB7" w:rsidRDefault="0034634B">
      <w:pPr>
        <w:suppressAutoHyphens/>
        <w:rPr>
          <w:rFonts w:ascii="Calibri" w:hAnsi="Calibri"/>
          <w:noProof/>
        </w:rPr>
      </w:pPr>
      <w:r>
        <w:rPr>
          <w:rFonts w:ascii="Calibri" w:hAnsi="Calibri"/>
          <w:noProof/>
        </w:rPr>
        <w:t>Σύμφωνα με τον κανονισμό για τα φθοριούχα αέρια θερμοκηπίου, τα κράτη μέλη πρέπει να υλοποιήσουν προγράμματα κατάρτισης και πιστοποίησης, καθώς και κανόνες για κυρώσεις, και να κοινοποιήσουν τα εν λόγω μέτρα στην Επιτροπή έως το 2017. Η Ελλάδα έχει κοινοποιήσει αμφότερα τα μέτρα.</w:t>
      </w:r>
    </w:p>
    <w:p w:rsidR="0034634B" w:rsidRDefault="0034634B" w:rsidP="0034634B">
      <w:pPr>
        <w:rPr>
          <w:rFonts w:ascii="Calibri" w:eastAsia="Calibri" w:hAnsi="Calibri" w:cs="Times New Roman"/>
          <w:noProof/>
        </w:rPr>
      </w:pPr>
      <w:r>
        <w:rPr>
          <w:noProof/>
        </w:rPr>
        <w:t xml:space="preserve">Η λογιστική απεικόνιση των εκπομπών αερίων θερμοκηπίου και των απορροφήσεων από τα δάση και τη γεωργία διέπεται από το Πρωτόκολλο του Κιότο. Η προκαταρκτική διαδικασία λογιστικής απεικόνισης για την περίοδο 2013-2016 </w:t>
      </w:r>
      <w:r>
        <w:rPr>
          <w:rFonts w:ascii="Calibri" w:hAnsi="Calibri"/>
          <w:noProof/>
        </w:rPr>
        <w:t xml:space="preserve">υποδεικνύει </w:t>
      </w:r>
      <w:r>
        <w:rPr>
          <w:noProof/>
        </w:rPr>
        <w:t>καθαρές μονάδες, κατά μέσο όρο, -0,5 Mt ισοδύναμου CO</w:t>
      </w:r>
      <w:r>
        <w:rPr>
          <w:noProof/>
          <w:vertAlign w:val="subscript"/>
        </w:rPr>
        <w:t>2</w:t>
      </w:r>
      <w:r>
        <w:rPr>
          <w:noProof/>
        </w:rPr>
        <w:t>, που αντιστοιχεί στο 0,4 % της καταγεγραμμένης καταβόθρας -115,7 Mt ισοδύναμου CO</w:t>
      </w:r>
      <w:r>
        <w:rPr>
          <w:noProof/>
          <w:vertAlign w:val="subscript"/>
        </w:rPr>
        <w:t>2</w:t>
      </w:r>
      <w:r>
        <w:rPr>
          <w:noProof/>
        </w:rPr>
        <w:t xml:space="preserve"> στην ΕΕ των 28.</w:t>
      </w:r>
      <w:r>
        <w:rPr>
          <w:rFonts w:ascii="Calibri" w:hAnsi="Calibri"/>
          <w:noProof/>
        </w:rPr>
        <w:t xml:space="preserve"> </w:t>
      </w:r>
    </w:p>
    <w:p w:rsidR="0034634B" w:rsidRDefault="0034634B">
      <w:pPr>
        <w:suppressAutoHyphens/>
        <w:rPr>
          <w:rFonts w:ascii="Calibri" w:hAnsi="Calibri"/>
          <w:noProof/>
        </w:rPr>
      </w:pPr>
    </w:p>
    <w:tbl>
      <w:tblPr>
        <w:tblW w:w="5017" w:type="dxa"/>
        <w:tblLayout w:type="fixed"/>
        <w:tblLook w:val="0000" w:firstRow="0" w:lastRow="0" w:firstColumn="0" w:lastColumn="0" w:noHBand="0" w:noVBand="0"/>
      </w:tblPr>
      <w:tblGrid>
        <w:gridCol w:w="5017"/>
      </w:tblGrid>
      <w:tr w:rsidR="0034634B" w:rsidTr="0034634B">
        <w:tc>
          <w:tcPr>
            <w:tcW w:w="5017" w:type="dxa"/>
            <w:shd w:val="clear" w:color="auto" w:fill="auto"/>
          </w:tcPr>
          <w:p w:rsidR="0034634B" w:rsidRDefault="0034634B" w:rsidP="0034634B">
            <w:pPr>
              <w:keepNext/>
              <w:suppressAutoHyphens/>
              <w:rPr>
                <w:rFonts w:ascii="Calibri" w:eastAsia="Calibri" w:hAnsi="Calibri" w:cs="Times New Roman"/>
                <w:noProof/>
              </w:rPr>
            </w:pPr>
            <w:r>
              <w:rPr>
                <w:rFonts w:ascii="Calibri" w:hAnsi="Calibri"/>
                <w:b/>
                <w:noProof/>
                <w:color w:val="1F497D"/>
              </w:rPr>
              <w:t>Διάγραμμα 8: Στόχοι και εκπομπές βάσει της απόφασης επιμερισμού των προσπαθειών και του κανονισμού για τον επιμερισμό των προσπαθειών</w:t>
            </w:r>
            <w:r>
              <w:rPr>
                <w:rFonts w:ascii="Arial" w:hAnsi="Arial"/>
                <w:b/>
                <w:noProof/>
                <w:color w:val="1F497D" w:themeColor="text2"/>
                <w:vertAlign w:val="superscript"/>
              </w:rPr>
              <w:footnoteReference w:id="21"/>
            </w:r>
            <w:r>
              <w:rPr>
                <w:rFonts w:ascii="Calibri" w:hAnsi="Calibri"/>
                <w:b/>
                <w:noProof/>
              </w:rPr>
              <w:t>.</w:t>
            </w:r>
          </w:p>
        </w:tc>
      </w:tr>
      <w:tr w:rsidR="0034634B" w:rsidTr="0034634B">
        <w:tc>
          <w:tcPr>
            <w:tcW w:w="5017" w:type="dxa"/>
            <w:shd w:val="clear" w:color="auto" w:fill="auto"/>
          </w:tcPr>
          <w:p w:rsidR="0034634B" w:rsidRDefault="0034634B" w:rsidP="0034634B">
            <w:pPr>
              <w:keepNext/>
              <w:suppressAutoHyphens/>
              <w:jc w:val="center"/>
              <w:rPr>
                <w:rFonts w:ascii="Calibri" w:eastAsia="Calibri" w:hAnsi="Calibri" w:cs="Times New Roman"/>
                <w:b/>
                <w:bCs/>
                <w:noProof/>
                <w:color w:val="1F497D"/>
                <w:szCs w:val="20"/>
              </w:rPr>
            </w:pPr>
            <w:r>
              <w:rPr>
                <w:rFonts w:ascii="Calibri" w:eastAsia="Calibri" w:hAnsi="Calibri" w:cs="Times New Roman"/>
                <w:b/>
                <w:bCs/>
                <w:noProof/>
                <w:color w:val="1F497D"/>
                <w:szCs w:val="20"/>
                <w:lang w:bidi="ar-SA"/>
              </w:rPr>
              <w:drawing>
                <wp:inline distT="0" distB="0" distL="0" distR="0" wp14:anchorId="693803FF" wp14:editId="24FE5004">
                  <wp:extent cx="2712642" cy="2533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27779" cy="2547788"/>
                          </a:xfrm>
                          <a:prstGeom prst="rect">
                            <a:avLst/>
                          </a:prstGeom>
                          <a:noFill/>
                          <a:ln>
                            <a:noFill/>
                          </a:ln>
                        </pic:spPr>
                      </pic:pic>
                    </a:graphicData>
                  </a:graphic>
                </wp:inline>
              </w:drawing>
            </w:r>
          </w:p>
        </w:tc>
      </w:tr>
    </w:tbl>
    <w:p w:rsidR="0034634B" w:rsidRDefault="0034634B" w:rsidP="0034634B">
      <w:pPr>
        <w:suppressAutoHyphens/>
        <w:rPr>
          <w:rFonts w:ascii="Calibri" w:eastAsia="Calibri" w:hAnsi="Calibri" w:cs="Times New Roman"/>
          <w:noProof/>
        </w:rPr>
      </w:pPr>
    </w:p>
    <w:tbl>
      <w:tblPr>
        <w:tblW w:w="4909" w:type="dxa"/>
        <w:tblInd w:w="108" w:type="dxa"/>
        <w:tblLayout w:type="fixed"/>
        <w:tblLook w:val="0000" w:firstRow="0" w:lastRow="0" w:firstColumn="0" w:lastColumn="0" w:noHBand="0" w:noVBand="0"/>
      </w:tblPr>
      <w:tblGrid>
        <w:gridCol w:w="4909"/>
      </w:tblGrid>
      <w:tr w:rsidR="00EE1CB7">
        <w:tc>
          <w:tcPr>
            <w:tcW w:w="4909" w:type="dxa"/>
            <w:shd w:val="clear" w:color="auto" w:fill="auto"/>
          </w:tcPr>
          <w:p w:rsidR="00EE1CB7" w:rsidRDefault="0034634B">
            <w:pPr>
              <w:suppressAutoHyphens/>
              <w:rPr>
                <w:rFonts w:ascii="Calibri" w:eastAsia="Calibri" w:hAnsi="Calibri" w:cs="Times New Roman"/>
                <w:noProof/>
              </w:rPr>
            </w:pPr>
            <w:r>
              <w:rPr>
                <w:rFonts w:ascii="Calibri" w:hAnsi="Calibri"/>
                <w:b/>
                <w:noProof/>
                <w:color w:val="1F497D"/>
              </w:rPr>
              <w:t>Διάγραμμα 9: Εκπομπές αερίων θερμοκηπίου ανά τομέα (Mt. ισοδύναμου CO</w:t>
            </w:r>
            <w:r>
              <w:rPr>
                <w:rFonts w:ascii="Calibri" w:hAnsi="Calibri"/>
                <w:b/>
                <w:noProof/>
                <w:color w:val="1F497D"/>
                <w:vertAlign w:val="subscript"/>
              </w:rPr>
              <w:t>2</w:t>
            </w:r>
            <w:r>
              <w:rPr>
                <w:rFonts w:ascii="Calibri" w:hAnsi="Calibri"/>
                <w:b/>
                <w:noProof/>
                <w:color w:val="1F497D"/>
              </w:rPr>
              <w:t>). Ιστορικά δεδομένα 1990-2016. Προβλέψεις 2017-2030</w:t>
            </w:r>
            <w:r>
              <w:rPr>
                <w:rFonts w:ascii="Calibri" w:hAnsi="Calibri"/>
                <w:b/>
                <w:noProof/>
                <w:color w:val="1F497D"/>
                <w:vertAlign w:val="superscript"/>
              </w:rPr>
              <w:footnoteReference w:id="22"/>
            </w:r>
            <w:r>
              <w:rPr>
                <w:rFonts w:ascii="Calibri" w:hAnsi="Calibri"/>
                <w:b/>
                <w:noProof/>
                <w:color w:val="1F497D"/>
              </w:rPr>
              <w:t>.</w:t>
            </w:r>
          </w:p>
        </w:tc>
      </w:tr>
      <w:tr w:rsidR="00EE1CB7">
        <w:tc>
          <w:tcPr>
            <w:tcW w:w="4909" w:type="dxa"/>
            <w:shd w:val="clear" w:color="auto" w:fill="auto"/>
          </w:tcPr>
          <w:p w:rsidR="00EE1CB7" w:rsidRDefault="0034634B">
            <w:pPr>
              <w:suppressAutoHyphens/>
              <w:rPr>
                <w:rFonts w:ascii="Calibri" w:eastAsia="Calibri" w:hAnsi="Calibri" w:cs="Times New Roman"/>
                <w:b/>
                <w:bCs/>
                <w:noProof/>
                <w:color w:val="1F497D"/>
                <w:szCs w:val="20"/>
              </w:rPr>
            </w:pPr>
            <w:r>
              <w:rPr>
                <w:rFonts w:ascii="Calibri" w:eastAsia="Calibri" w:hAnsi="Calibri" w:cs="Times New Roman"/>
                <w:b/>
                <w:bCs/>
                <w:noProof/>
                <w:color w:val="1F497D"/>
                <w:szCs w:val="20"/>
                <w:lang w:bidi="ar-SA"/>
              </w:rPr>
              <w:drawing>
                <wp:inline distT="0" distB="0" distL="0" distR="0">
                  <wp:extent cx="2978785" cy="228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78785" cy="2286000"/>
                          </a:xfrm>
                          <a:prstGeom prst="rect">
                            <a:avLst/>
                          </a:prstGeom>
                          <a:noFill/>
                          <a:ln>
                            <a:noFill/>
                          </a:ln>
                        </pic:spPr>
                      </pic:pic>
                    </a:graphicData>
                  </a:graphic>
                </wp:inline>
              </w:drawing>
            </w:r>
          </w:p>
        </w:tc>
      </w:tr>
    </w:tbl>
    <w:p w:rsidR="00EE1CB7" w:rsidRDefault="0034634B">
      <w:pPr>
        <w:rPr>
          <w:noProof/>
        </w:rPr>
      </w:pPr>
      <w:r>
        <w:rPr>
          <w:noProof/>
        </w:rPr>
        <w:t xml:space="preserve">Η στρατηγική της ΕΕ για την προσαρμογή στην κλιματική αλλαγή, που εγκρίθηκε το 2013, έχει ως στόχο την </w:t>
      </w:r>
      <w:r>
        <w:rPr>
          <w:noProof/>
        </w:rPr>
        <w:lastRenderedPageBreak/>
        <w:t xml:space="preserve">ενίσχυση της ανθεκτικότητας της Ευρώπης στην κλιματική αλλαγή, μέσω της προώθησης της ανάληψης δράσης από τα κράτη μέλη, της λήψης αποφάσεων με βάση πληρέστερες πληροφορίες και της προσαρμογής σε βασικούς τρωτούς τομείς. Με την υιοθέτηση συνεκτικής προσέγγισης και την πρόβλεψη για βελτίωση του συντονισμού, επιδιώκεται η ενίσχυση της ετοιμότητας και της ικανότητας αντιμετώπισης των επιπτώσεων της κλιματικής αλλαγής σε όλα τα επίπεδα διακυβέρνησης. </w:t>
      </w:r>
    </w:p>
    <w:p w:rsidR="00EE1CB7" w:rsidRDefault="0034634B">
      <w:pPr>
        <w:suppressAutoHyphens/>
        <w:rPr>
          <w:rFonts w:ascii="Calibri" w:eastAsia="Calibri" w:hAnsi="Calibri" w:cs="Times New Roman"/>
          <w:noProof/>
        </w:rPr>
      </w:pPr>
      <w:r>
        <w:rPr>
          <w:rFonts w:ascii="Calibri" w:hAnsi="Calibri"/>
          <w:noProof/>
        </w:rPr>
        <w:t xml:space="preserve">Το 2016 η Ελλάδα θέσπισε διά νόμου την Εθνική Στρατηγική για την Προσαρμογή στην Κλιματική Αλλαγή (ΕΣΠΚΑ). Η ΕΣΠΚΑ της Ελλάδας αποτελεί πρωταρχικό έγγραφο πολιτικής, στο οποίο καθορίζονται οι στόχοι, οι αρχές και οι προτεραιότητες για την προσαρμογή. Επίσης, στην ΕΣΠΚΑ της Ελλάδας παρατίθενται δυνητικά μέτρα και δράσεις προσαρμογής για δεκαπέντε (15) περιβαλλοντικούς και κοινωνικοοικονομικούς τομείς που είναι πιθανό να επηρεαστούν σημαντικά από την κλιματική αλλαγή στην Ελλάδα. Οι εν λόγω τομείς είναι: βιοποικιλότητα και οικοσυστήματα, γεωργία και κτηνοτροφία, δασοπονία, αλιεία, υδατοκαλλιέργειες, υδάτινοι πόροι, παράκτιες ζώνες, τουρισμός, ενέργεια, υγεία, δομημένο περιβάλλον, υποδομές και μεταφορές, πολιτιστική κληρονομιά, εξορυκτική βιομηχανία και ασφαλιστικός τομέας. Η ΕΣΠΚΑ παρέχει καθοδήγηση, στοιχεία και προτεραιότητες, τα οποία θα πρέπει να αναλυθούν περαιτέρω σε περιφερειακό επίπεδο και να μετατραπούν σε Περιφερειακά Σχέδια για την Προσαρμογή στην Κλιματική Αλλαγή. </w:t>
      </w:r>
    </w:p>
    <w:p w:rsidR="00EE1CB7" w:rsidRDefault="0034634B">
      <w:pPr>
        <w:suppressAutoHyphens/>
        <w:rPr>
          <w:rFonts w:ascii="Calibri" w:eastAsia="Calibri" w:hAnsi="Calibri" w:cs="Times New Roman"/>
          <w:noProof/>
        </w:rPr>
      </w:pPr>
      <w:r>
        <w:rPr>
          <w:rFonts w:ascii="Calibri" w:hAnsi="Calibri"/>
          <w:noProof/>
        </w:rPr>
        <w:t xml:space="preserve">Στον νόμο προβλέπεται επίσης η σύσταση Εθνικού Συμβουλίου για την Προσαρμογή στην Κλιματική Αλλαγή, το οποίο θα ενεργεί ως επίσημος συντονιστικός και συμβουλευτικός φορέας του Υπουργείου Περιβάλλοντος και Ενέργειας σε εθνικό επίπεδο για τη </w:t>
      </w:r>
      <w:r>
        <w:rPr>
          <w:rFonts w:ascii="Calibri" w:hAnsi="Calibri"/>
          <w:noProof/>
        </w:rPr>
        <w:t xml:space="preserve">χάραξη, τον συντονισμό και την εφαρμογή πολιτικών για την προσαρμογή στην κλιματική αλλαγή. </w:t>
      </w:r>
    </w:p>
    <w:p w:rsidR="00EE1CB7" w:rsidRDefault="0034634B">
      <w:pPr>
        <w:suppressAutoHyphens/>
        <w:rPr>
          <w:rFonts w:ascii="Calibri" w:eastAsia="Calibri" w:hAnsi="Calibri" w:cs="Times New Roman"/>
          <w:noProof/>
        </w:rPr>
      </w:pPr>
      <w:r>
        <w:rPr>
          <w:rFonts w:ascii="Calibri" w:hAnsi="Calibri"/>
          <w:noProof/>
        </w:rPr>
        <w:t>Οι εργασίες για την κατάρτιση Περιφερειακών Σχεδίων δράσης για την Προσαρμογή στην Κλιματική Αλλαγή βρίσκονται σε εξέλιξη. Σε κάθε Περιφερειακό Σχέδιο δράσης για την Προσαρμογή στην Κλιματική Αλλαγή θα εξετάζονται τα δυνητικά μέτρα και δράσεις που περιλαμβάνονται στην ΕΣΠΚΑ,</w:t>
      </w:r>
      <w:r>
        <w:rPr>
          <w:rFonts w:ascii="Calibri" w:hAnsi="Calibri"/>
          <w:noProof/>
          <w:color w:val="000000"/>
        </w:rPr>
        <w:t xml:space="preserve"> </w:t>
      </w:r>
      <w:r>
        <w:rPr>
          <w:rFonts w:ascii="Calibri" w:hAnsi="Calibri"/>
          <w:noProof/>
        </w:rPr>
        <w:t>με βάση τα ιδιαίτερα περιφερειακά χαρακτηριστικά, προτεραιότητες και ανάγκες και θα αναπτύσσονται οι περιφερειακές προτεραιότητες.</w:t>
      </w:r>
      <w:r>
        <w:rPr>
          <w:rFonts w:ascii="Calibri" w:hAnsi="Calibri"/>
          <w:noProof/>
          <w:sz w:val="28"/>
        </w:rPr>
        <w:t xml:space="preserve"> </w:t>
      </w:r>
      <w:r>
        <w:rPr>
          <w:rFonts w:ascii="Calibri" w:hAnsi="Calibri"/>
          <w:noProof/>
        </w:rPr>
        <w:t>Όπου συντρέχει περίπτωση τομεακής ή υποπεριφερειακής ανάλυσης, θα υποδεικνύονται συγκεκριμένες δράσεις ανά τομέα ή υποπεριφερειακή ζώνη. Μέχρι στιγμής, δεν πραγματοποιείται παρακολούθηση της ενσωμάτωσης της κλιματικής αλλαγής σε τομεακές πολιτικές, ούτε υφίσταται πλαίσιο αξιολόγησης των υλοποιούμενων δράσεων προσαρμογής. Η Ελλάδα πρόκειται να θεσπίσει σχετικό σύστημα το 2019, αξιοποιώντας προγράμματα ενωσιακής χρηματοδότησης (ολοκληρωμένα έργα LIFE).</w:t>
      </w:r>
    </w:p>
    <w:p w:rsidR="00EE1CB7" w:rsidRDefault="0034634B">
      <w:pPr>
        <w:rPr>
          <w:noProof/>
          <w:color w:val="1F497D" w:themeColor="text2"/>
          <w:sz w:val="22"/>
        </w:rPr>
      </w:pPr>
      <w:r>
        <w:rPr>
          <w:noProof/>
          <w:color w:val="1F497D" w:themeColor="text2"/>
          <w:sz w:val="22"/>
        </w:rPr>
        <w:t>Δράσεις προτεραιότητας για το 2019</w:t>
      </w:r>
    </w:p>
    <w:p w:rsidR="00EE1CB7" w:rsidRDefault="0034634B">
      <w:pPr>
        <w:rPr>
          <w:noProof/>
        </w:rPr>
      </w:pPr>
      <w:r>
        <w:rPr>
          <w:noProof/>
        </w:rPr>
        <w:t xml:space="preserve">Στην παρούσα έκθεση δεν περιλαμβάνονται δράσεις προτεραιότητας σχετικά με την κλιματική αλλαγή, καθώς η Επιτροπή θα πρέπει πρώτα να αξιολογήσει τα εθνικά προσχέδια για την ενέργεια και το κλίμα, τα οποία έπρεπε να υποβληθούν από τα κράτη μέλη έως το τέλος του 2018. Τα εν λόγω σχέδια αναμένεται ότι θα αυξήσουν τη συνοχή μεταξύ ενεργειακών και κλιματικών πολιτικών και, ως εκ τούτου, θα μπορούσαν να αποτελέσουν καλό παράδειγμα για τον τρόπο σύνδεσης ειδικών ανά τομέα πολιτικών σχετικά με άλλα αλληλοσυνδεόμενα θέματα, όπως γεωργία-φύση-νερό και μεταφορές-αέρας-υγεία. </w:t>
      </w:r>
    </w:p>
    <w:p w:rsidR="0034634B" w:rsidRDefault="0034634B">
      <w:pPr>
        <w:spacing w:after="200" w:line="276" w:lineRule="auto"/>
        <w:jc w:val="left"/>
        <w:rPr>
          <w:rFonts w:cstheme="majorBidi"/>
          <w:b/>
          <w:bCs/>
          <w:noProof/>
          <w:color w:val="1F497D" w:themeColor="text2"/>
          <w:sz w:val="32"/>
          <w:szCs w:val="28"/>
        </w:rPr>
      </w:pPr>
      <w:r>
        <w:rPr>
          <w:rFonts w:cstheme="majorBidi"/>
          <w:b/>
          <w:bCs/>
          <w:noProof/>
          <w:color w:val="1F497D" w:themeColor="text2"/>
          <w:sz w:val="32"/>
          <w:szCs w:val="28"/>
        </w:rPr>
        <w:br w:type="page"/>
      </w:r>
    </w:p>
    <w:p w:rsidR="00EE1CB7" w:rsidRDefault="00EE1CB7">
      <w:pPr>
        <w:widowControl w:val="0"/>
        <w:spacing w:after="0"/>
        <w:ind w:left="720" w:hanging="360"/>
        <w:jc w:val="center"/>
        <w:outlineLvl w:val="0"/>
        <w:rPr>
          <w:rFonts w:cstheme="majorBidi"/>
          <w:b/>
          <w:bCs/>
          <w:noProof/>
          <w:color w:val="1F497D" w:themeColor="text2"/>
          <w:sz w:val="32"/>
          <w:szCs w:val="28"/>
        </w:rPr>
        <w:sectPr w:rsidR="00EE1CB7">
          <w:headerReference w:type="even" r:id="rId72"/>
          <w:headerReference w:type="default" r:id="rId73"/>
          <w:footerReference w:type="even" r:id="rId74"/>
          <w:footerReference w:type="default" r:id="rId75"/>
          <w:headerReference w:type="first" r:id="rId76"/>
          <w:footerReference w:type="first" r:id="rId77"/>
          <w:type w:val="continuous"/>
          <w:pgSz w:w="11906" w:h="16838"/>
          <w:pgMar w:top="1440" w:right="1080" w:bottom="1440" w:left="1080" w:header="708" w:footer="708" w:gutter="0"/>
          <w:pgNumType w:start="4"/>
          <w:cols w:num="2" w:space="360"/>
          <w:docGrid w:linePitch="360"/>
        </w:sectPr>
      </w:pPr>
    </w:p>
    <w:p w:rsidR="00EE1CB7" w:rsidRDefault="0034634B">
      <w:pPr>
        <w:pStyle w:val="a9"/>
        <w:widowControl w:val="0"/>
        <w:numPr>
          <w:ilvl w:val="0"/>
          <w:numId w:val="18"/>
        </w:numPr>
        <w:spacing w:after="0"/>
        <w:jc w:val="center"/>
        <w:outlineLvl w:val="0"/>
        <w:rPr>
          <w:rFonts w:asciiTheme="minorHAnsi" w:eastAsiaTheme="majorBidi" w:hAnsiTheme="minorHAnsi" w:cstheme="majorBidi"/>
          <w:b/>
          <w:bCs/>
          <w:noProof/>
          <w:color w:val="1F497D" w:themeColor="text2"/>
          <w:sz w:val="32"/>
          <w:szCs w:val="32"/>
        </w:rPr>
      </w:pPr>
      <w:bookmarkStart w:id="33" w:name="_Toc433296159"/>
      <w:bookmarkStart w:id="34" w:name="_Toc525660370"/>
      <w:bookmarkStart w:id="35" w:name="_Toc546016"/>
      <w:bookmarkStart w:id="36" w:name="_Toc13470659"/>
      <w:r>
        <w:rPr>
          <w:rFonts w:asciiTheme="minorHAnsi" w:eastAsiaTheme="majorBidi" w:hAnsiTheme="minorHAnsi" w:cstheme="majorBidi"/>
          <w:b/>
          <w:noProof/>
          <w:color w:val="1F497D" w:themeColor="text2"/>
          <w:sz w:val="32"/>
        </w:rPr>
        <w:lastRenderedPageBreak/>
        <w:t>Προστασία, διατήρηση και ενίσχυση του φυσικού κεφαλαίου</w:t>
      </w:r>
      <w:bookmarkStart w:id="37" w:name="_Toc432413878"/>
      <w:bookmarkEnd w:id="33"/>
      <w:bookmarkEnd w:id="34"/>
      <w:bookmarkEnd w:id="35"/>
      <w:bookmarkEnd w:id="36"/>
      <w:bookmarkEnd w:id="37"/>
    </w:p>
    <w:p w:rsidR="00EE1CB7" w:rsidRDefault="00EE1CB7">
      <w:pPr>
        <w:widowControl w:val="0"/>
        <w:rPr>
          <w:rFonts w:cs="Times New Roman"/>
          <w:noProof/>
        </w:rPr>
      </w:pPr>
    </w:p>
    <w:p w:rsidR="00EE1CB7" w:rsidRDefault="00EE1CB7">
      <w:pPr>
        <w:widowControl w:val="0"/>
        <w:rPr>
          <w:rFonts w:cs="Times New Roman"/>
          <w:noProof/>
        </w:rPr>
        <w:sectPr w:rsidR="00EE1CB7">
          <w:headerReference w:type="even" r:id="rId78"/>
          <w:headerReference w:type="default" r:id="rId79"/>
          <w:footerReference w:type="even" r:id="rId80"/>
          <w:footerReference w:type="default" r:id="rId81"/>
          <w:headerReference w:type="first" r:id="rId82"/>
          <w:footerReference w:type="first" r:id="rId83"/>
          <w:type w:val="continuous"/>
          <w:pgSz w:w="11906" w:h="16838"/>
          <w:pgMar w:top="1440" w:right="1080" w:bottom="1440" w:left="1080" w:header="708" w:footer="708" w:gutter="0"/>
          <w:cols w:space="566"/>
          <w:docGrid w:linePitch="360"/>
        </w:sectPr>
      </w:pPr>
    </w:p>
    <w:p w:rsidR="00EE1CB7" w:rsidRDefault="0034634B">
      <w:pPr>
        <w:pStyle w:val="21"/>
        <w:rPr>
          <w:noProof/>
        </w:rPr>
      </w:pPr>
      <w:bookmarkStart w:id="38" w:name="_Toc433296160"/>
      <w:bookmarkStart w:id="39" w:name="_Toc509391838"/>
      <w:bookmarkStart w:id="40" w:name="_Toc525660371"/>
      <w:bookmarkStart w:id="41" w:name="_Toc546017"/>
      <w:bookmarkStart w:id="42" w:name="_Toc13470660"/>
      <w:r>
        <w:rPr>
          <w:noProof/>
        </w:rPr>
        <w:t>Φύση και βιοποικιλότητα</w:t>
      </w:r>
      <w:bookmarkEnd w:id="38"/>
      <w:bookmarkEnd w:id="39"/>
      <w:bookmarkEnd w:id="40"/>
      <w:bookmarkEnd w:id="41"/>
      <w:bookmarkEnd w:id="42"/>
    </w:p>
    <w:p w:rsidR="00EE1CB7" w:rsidRDefault="0034634B">
      <w:pPr>
        <w:shd w:val="clear" w:color="auto" w:fill="4F81BD" w:themeFill="accent1"/>
        <w:spacing w:after="240"/>
        <w:rPr>
          <w:rFonts w:cstheme="minorHAnsi"/>
          <w:noProof/>
          <w:color w:val="FFFFFF" w:themeColor="background1"/>
        </w:rPr>
      </w:pPr>
      <w:r>
        <w:rPr>
          <w:rFonts w:cstheme="minorHAnsi"/>
          <w:noProof/>
          <w:color w:val="FFFFFF" w:themeColor="background1"/>
        </w:rPr>
        <w:t>Η στρατηγική της ΕΕ για τη βιοποικιλότητα έχει ως στόχο να ανακοπεί η απώλεια βιοποικιλότητας στην ΕΕ μέχρι το 2020. Σύμφωνα με την εν λόγω στρατηγική, απαιτείται πλήρης εφαρμογή των οδηγιών για τα πτηνά και τους οικοτόπους, με στόχο την επίτευξη ικανοποιητικής κατάστασης διατήρησης των προστατευόμενων ειδών και οικοτόπων. Επίσης, απαιτείται η συμβολή των τομέων της γεωργίας και της δασοκομίας στη διατήρηση και τη βελτίωση της βιοποικιλότητας.</w:t>
      </w:r>
    </w:p>
    <w:p w:rsidR="00EE1CB7" w:rsidRDefault="0034634B">
      <w:pPr>
        <w:pStyle w:val="31"/>
        <w:rPr>
          <w:noProof/>
        </w:rPr>
      </w:pPr>
      <w:r>
        <w:rPr>
          <w:noProof/>
        </w:rPr>
        <w:t>Στρατηγική για τη βιοποικιλότητα</w:t>
      </w:r>
    </w:p>
    <w:p w:rsidR="00EE1CB7" w:rsidRDefault="0034634B">
      <w:pPr>
        <w:rPr>
          <w:rFonts w:eastAsia="Times New Roman" w:cs="Times New Roman"/>
          <w:noProof/>
        </w:rPr>
      </w:pPr>
      <w:r>
        <w:rPr>
          <w:noProof/>
        </w:rPr>
        <w:t>Η Ελλάδα υιοθέτησε την πρώτη Εθνική Στρατηγική και Σχέδιο Δράσης για τη Βιοποικιλότητα το 2014. Η στρατηγική έχει ως στόχο την ανάσχεση της απώλειας βιοποικιλότητας και της υποβάθμισης των οικοσυστημικών υπηρεσιών έως το 2026.</w:t>
      </w:r>
    </w:p>
    <w:p w:rsidR="00EE1CB7" w:rsidRDefault="0034634B">
      <w:pPr>
        <w:pStyle w:val="31"/>
        <w:rPr>
          <w:noProof/>
        </w:rPr>
      </w:pPr>
      <w:r>
        <w:rPr>
          <w:noProof/>
        </w:rPr>
        <w:t>Συγκρότηση συνεκτικού δικτύου τόπων Natura 2000</w:t>
      </w:r>
    </w:p>
    <w:p w:rsidR="00EE1CB7" w:rsidRDefault="0034634B">
      <w:pPr>
        <w:rPr>
          <w:noProof/>
        </w:rPr>
      </w:pPr>
      <w:r>
        <w:rPr>
          <w:noProof/>
        </w:rPr>
        <w:t>Σύμφωνα με τις οδηγίες για τα πτηνά και τους οικοτόπους, απαιτείται από τα κράτη μέλη να συγκροτήσουν συνεκτικό εθνικό δίκτυο τόπων Natura 2000. Η Επιτροπή αξιολογεί τη συμμόρφωση με την εν λόγω απαίτηση μεμονωμένα για κάθε είδος και κάθε τύπο οικοτόπου που απαντάται στην εθνική επικράτεια του εκάστοτε κράτους μέλους. Η πλέον πρόσφατη επικαιροποίηση της εν λόγω αξιολόγησης διενεργήθηκε από την Επιτροπή με τη συμβολή του Ευρωπαϊκού Οργανισμού Περιβάλλοντος. Με βάση αυτήν την επικαιροποίηση, το χερσαίο δίκτυο Natura 2000 της Ελλάδας βάσει των οδηγιών για τα πτηνά και τους οικοτόπους θεωρείται πλέον ολοκληρωμένο.</w:t>
      </w:r>
    </w:p>
    <w:p w:rsidR="00EE1CB7" w:rsidRDefault="0034634B">
      <w:pPr>
        <w:rPr>
          <w:noProof/>
        </w:rPr>
      </w:pPr>
      <w:r>
        <w:rPr>
          <w:noProof/>
        </w:rPr>
        <w:t>Η Ελλάδα έχει χαρακτηρίσει 446 τόπους Natura 2000, στους οποίους περιλαμβάνονται 265 τόποι κοινοτικής σημασίας (ΤΚΣ) βάσει της οδηγίας για τους οικοτόπους και 207 ζώνες ειδικής προστασίας (ΖΕΠ) βάσει της οδηγίας για τα πτηνά. Οι εν λόγω τόποι καλύπτουν το 27,4 % της ηπειρωτικής Ελλάδας (μέσος όρος ΕΕ: 18,2 %), καθώς και σημαντικό τμήμα της θαλάσσιας έκτασής της</w:t>
      </w:r>
      <w:r>
        <w:rPr>
          <w:rStyle w:val="ae"/>
          <w:noProof/>
        </w:rPr>
        <w:footnoteReference w:id="23"/>
      </w:r>
      <w:r>
        <w:rPr>
          <w:rFonts w:ascii="Times New Roman" w:hAnsi="Times New Roman"/>
          <w:noProof/>
        </w:rPr>
        <w:t>.</w:t>
      </w:r>
    </w:p>
    <w:p w:rsidR="00EE1CB7" w:rsidRDefault="0034634B">
      <w:pPr>
        <w:pStyle w:val="31"/>
        <w:rPr>
          <w:rFonts w:ascii="Times New Roman,Calibri" w:eastAsia="Times New Roman,Calibri" w:hAnsi="Times New Roman,Calibri" w:cs="Times New Roman,Calibri"/>
          <w:i/>
          <w:iCs/>
          <w:noProof/>
        </w:rPr>
      </w:pPr>
      <w:r>
        <w:rPr>
          <w:noProof/>
        </w:rPr>
        <w:t>Χαρακτηρισμός τόπων Natura 2000 και καθορισμός στόχων και μέτρων διατήρησης</w:t>
      </w:r>
    </w:p>
    <w:p w:rsidR="00EE1CB7" w:rsidRDefault="0034634B">
      <w:pPr>
        <w:rPr>
          <w:noProof/>
        </w:rPr>
      </w:pPr>
      <w:r>
        <w:rPr>
          <w:noProof/>
        </w:rPr>
        <w:t>Το χερσαίο τμήμα του ελληνικού δικτύου Natura 2000 είναι εν πολλοίς ολοκληρωμένο. Με την πλέον πρόσφατη μεγάλη επέκταση του θαλάσσιου τμήματος του δικτύου αναμένεται να αποκατασταθούν οι εναπομένουσες ανεπάρκειες όσον αφορά τον χαρακτηρισμό τόσο των ΤΚΣ όσο και των ΖΕΠ</w:t>
      </w:r>
      <w:r>
        <w:rPr>
          <w:rStyle w:val="ae"/>
          <w:noProof/>
        </w:rPr>
        <w:footnoteReference w:id="24"/>
      </w:r>
      <w:r>
        <w:rPr>
          <w:noProof/>
        </w:rPr>
        <w:t>.</w:t>
      </w:r>
    </w:p>
    <w:p w:rsidR="00EE1CB7" w:rsidRDefault="0034634B">
      <w:pPr>
        <w:rPr>
          <w:noProof/>
        </w:rPr>
      </w:pPr>
      <w:r>
        <w:rPr>
          <w:noProof/>
        </w:rPr>
        <w:t>Για 239 ΤΚΣ, έχει εκπνεύσει η εξαετής προθεσμία για τον χαρακτηρισμό των οικοτόπων ως ειδικών ζωνών διατήρησης και για τον καθορισμό κατάλληλων στόχων και μέτρων διατήρησης, η οποία ορίζεται στην οδηγία. Τον Απρίλιο του 2018, η Ελλάδα δεν είχε εκπληρώσει τις εν λόγω υποχρεώσεις.</w:t>
      </w:r>
    </w:p>
    <w:p w:rsidR="00EE1CB7" w:rsidRDefault="0034634B">
      <w:pPr>
        <w:rPr>
          <w:noProof/>
        </w:rPr>
      </w:pPr>
      <w:r>
        <w:rPr>
          <w:noProof/>
        </w:rPr>
        <w:t xml:space="preserve"> Παρότι οι ΖΕΠ επωφελούνται από οριζόντια μέτρα προστασίας στο πλαίσιο της εθνικής νομοθεσίας, δεν έχουν ακόμη θεσπιστεί βασικές εκτελεστικές πράξεις για την εφαρμογή της νομοθεσίας.</w:t>
      </w:r>
    </w:p>
    <w:p w:rsidR="00EE1CB7" w:rsidRDefault="0034634B">
      <w:pPr>
        <w:rPr>
          <w:noProof/>
        </w:rPr>
      </w:pPr>
      <w:r>
        <w:rPr>
          <w:noProof/>
        </w:rPr>
        <w:t>Η Ελλάδα έχει θεσπίσει έναν άρτιο και ολοκληρωμένο νόμο για τη βιοποικιλότητα</w:t>
      </w:r>
      <w:r>
        <w:rPr>
          <w:rStyle w:val="ae"/>
          <w:noProof/>
        </w:rPr>
        <w:footnoteReference w:id="25"/>
      </w:r>
      <w:r>
        <w:rPr>
          <w:noProof/>
        </w:rPr>
        <w:t xml:space="preserve"> και μια εθνική στρατηγική για τη βιοποικιλότητα</w:t>
      </w:r>
      <w:r>
        <w:rPr>
          <w:rStyle w:val="ae"/>
          <w:noProof/>
        </w:rPr>
        <w:footnoteReference w:id="26"/>
      </w:r>
      <w:r>
        <w:rPr>
          <w:noProof/>
        </w:rPr>
        <w:t>, ωστόσο κανένα από τα δύο μέσα δεν εφαρμόζεται καταλλήλως.</w:t>
      </w:r>
    </w:p>
    <w:p w:rsidR="00EE1CB7" w:rsidRDefault="0034634B">
      <w:pPr>
        <w:rPr>
          <w:rFonts w:eastAsia="Times New Roman,Calibri" w:cs="Times New Roman,Calibri"/>
          <w:noProof/>
        </w:rPr>
      </w:pPr>
      <w:r>
        <w:rPr>
          <w:noProof/>
        </w:rPr>
        <w:t>Έχουν αναπτυχθεί σχέδια διαχείρισης και άλλα συνοδευτικά νομικά μέσα για μια σειρά τόπων, κυρίως με χρηματοδότηση του LIFE ή του Ευρωπαϊκού Ταμείου Περιφερειακής Ανάπτυξης (ΕΤΠΑ). Ωστόσο, είναι πολύ λίγα αυτά που εγκρίθηκαν επισήμως και υλοποιούνται. Με ένα μείζον έργο στο πλαίσιο του ΕΤΠΑ, που δρομολογείται το 2018, αναμένεται να πραγματοποιηθεί η κατάρτιση ή επικαιροποίηση σχεδίων διαχείρισης και νομικών πράξεων που καλύπτουν το σύνολο των 446 περιοχών Natura 2000 έως το τέλος του 2020.</w:t>
      </w:r>
    </w:p>
    <w:p w:rsidR="00EE1CB7" w:rsidRDefault="0034634B">
      <w:pPr>
        <w:rPr>
          <w:noProof/>
        </w:rPr>
      </w:pPr>
      <w:r>
        <w:rPr>
          <w:noProof/>
        </w:rPr>
        <w:t>Σύμφωνα με την πιο πρόσφατη έκθεση</w:t>
      </w:r>
      <w:r>
        <w:rPr>
          <w:rStyle w:val="ae"/>
          <w:noProof/>
        </w:rPr>
        <w:footnoteReference w:id="27"/>
      </w:r>
      <w:r>
        <w:rPr>
          <w:noProof/>
        </w:rPr>
        <w:t xml:space="preserve"> της Ελλάδας σχετικά με την κατάσταση διατήρησης των οικοτόπων και των ειδών που καλύπτονται από την οδηγία για τους οικοτόπους, μόλις το 63 % των αξιολογήσεων για τους </w:t>
      </w:r>
      <w:r>
        <w:rPr>
          <w:noProof/>
        </w:rPr>
        <w:lastRenderedPageBreak/>
        <w:t>τύπους οικοτόπων της Μεσογείου και το 33 % των αξιολογήσεων για τα είδη διαπιστώνουν ικανοποιητική κατάσταση διατήρησης. Εντούτοις, για το 12 % των ειδών, η κατάσταση παραμένει άγνωστη</w:t>
      </w:r>
      <w:r>
        <w:rPr>
          <w:rStyle w:val="ae"/>
          <w:noProof/>
        </w:rPr>
        <w:footnoteReference w:id="28"/>
      </w:r>
      <w:r>
        <w:rPr>
          <w:noProof/>
        </w:rPr>
        <w:t>.</w:t>
      </w:r>
    </w:p>
    <w:p w:rsidR="00EE1CB7" w:rsidRDefault="0034634B">
      <w:pPr>
        <w:widowControl w:val="0"/>
        <w:rPr>
          <w:rFonts w:eastAsia="Times New Roman,Calibri" w:cs="Times New Roman,Calibri"/>
          <w:noProof/>
        </w:rPr>
      </w:pPr>
      <w:r>
        <w:rPr>
          <w:noProof/>
        </w:rPr>
        <w:t>Μια σημαντική πρόκληση για την αποτελεσματική προστασία και διαχείριση των τόπων του Natura 2000 είναι η θέσπιση εθνικού συστήματος για την ολοκληρωμένη διαχείριση, διοίκηση και λειτουργία των προστατευόμενων περιοχών (όπου περιλαμβάνονται η στρατηγική, η διάρθρωση, τα προγράμματα διαχείρισης, οι αρμοδιότητες, η χρηματοδότηση, η επιβολή της νομοθεσίας και η παρακολούθηση). Η πρόσφατη νομοθεσία που έχει ως στόχο τη σύσταση φορέων διαχείρισης για όλους τους τόπους Natura 2000 αναμένεται να αποφέρει σημαντικά οφέλη προς αυτή την κατεύθυνση.</w:t>
      </w:r>
    </w:p>
    <w:p w:rsidR="00EE1CB7" w:rsidRDefault="0034634B">
      <w:pPr>
        <w:widowControl w:val="0"/>
        <w:rPr>
          <w:rFonts w:eastAsia="Times New Roman,Calibri" w:cs="Times New Roman,Calibri"/>
          <w:noProof/>
        </w:rPr>
      </w:pPr>
      <w:r>
        <w:rPr>
          <w:noProof/>
        </w:rPr>
        <w:t>Στα μείζονα εμπόδια για την επίτευξη των στόχων των οδηγιών για τη φύση περιλαμβάνονται τα εξής: i) έλλειμμα ενημέρωσης (μεταξύ των αρχών, των ενδιαφερομένων και του πληθυσμού) σχετικά με το Natura 2000 και τα οφέλη του· ii) απουσία κινήτρων για επενδύσεις οι οποίες προωθούν αυτά τα οφέλη· iii) ανεπαρκές πεδίο εφαρμογής για στήριξη της βιώσιμης διαχείρισης της γης και ολοκλήρωση με άλλες πολιτικές· και iv) δυσχέρειες στην επιβολή της νομοθεσίας. Το ολοκληρωμένο έργο LIFE, που δρομολογήθηκε το 2017, θα συμβάλει σημαντικά στην αντιμετώπιση των εν λόγω προκλήσεων.</w:t>
      </w:r>
    </w:p>
    <w:p w:rsidR="00EE1CB7" w:rsidRDefault="0034634B">
      <w:pPr>
        <w:widowControl w:val="0"/>
        <w:rPr>
          <w:rFonts w:eastAsia="Times New Roman,Calibri" w:cs="Times New Roman,Calibri"/>
          <w:noProof/>
        </w:rPr>
      </w:pPr>
      <w:r>
        <w:rPr>
          <w:noProof/>
        </w:rPr>
        <w:t xml:space="preserve">Λόγω αυτών των ανεπαρκειών, βρίσκεται σε εξέλιξη μεγάλος αριθμός καταγγελιών και υποθέσεων επί παραβάσει για θέματα όπως: i) η υποβάθμιση των χαρακτηρισμένων τόπων· ii) η χαμηλή ποιότητα των «κατάλληλων εκτιμήσεων» βάσει του άρθρου 6 παράγραφος 3 της οδηγίας για τους οικοτόπους· iii) η απουσία στρατηγικών εκτιμήσεων· και iv) η ανεπαρκής προστασία των ειδών και των οικοτόπων (που οφείλεται επίσης σε παράνομες δραστηριότητες). </w:t>
      </w:r>
    </w:p>
    <w:p w:rsidR="00EE1CB7" w:rsidRDefault="0034634B">
      <w:pPr>
        <w:widowControl w:val="0"/>
        <w:rPr>
          <w:noProof/>
        </w:rPr>
      </w:pPr>
      <w:r>
        <w:rPr>
          <w:noProof/>
          <w:lang w:bidi="ar-SA"/>
        </w:rPr>
        <w:drawing>
          <wp:inline distT="0" distB="0" distL="0" distR="0">
            <wp:extent cx="2980055" cy="198754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ettyImages-69592062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980055" cy="1987541"/>
                    </a:xfrm>
                    <a:prstGeom prst="rect">
                      <a:avLst/>
                    </a:prstGeom>
                  </pic:spPr>
                </pic:pic>
              </a:graphicData>
            </a:graphic>
          </wp:inline>
        </w:drawing>
      </w:r>
    </w:p>
    <w:p w:rsidR="00EE1CB7" w:rsidRDefault="0034634B">
      <w:pPr>
        <w:widowControl w:val="0"/>
        <w:rPr>
          <w:rFonts w:eastAsia="Times New Roman" w:cs="Times New Roman"/>
          <w:noProof/>
        </w:rPr>
      </w:pPr>
      <w:r>
        <w:rPr>
          <w:noProof/>
        </w:rPr>
        <w:t>Τα κύρια αίτια της απώλειας βιοποικιλότητας στην Ελλάδα συνδέονται με παλαιότερες και τρέχουσες πολιτικές που αφορούν τη μη βιώσιμη χρήση της γης, τη γεωργία, την αλιεία, τις μεταφορές, τον τουρισμό (ιδίως τον παράκτιο τουρισμό), τα πρότυπα παραγωγής και κατανάλωσης και την κλιματική αλλαγή.</w:t>
      </w:r>
    </w:p>
    <w:p w:rsidR="00EE1CB7" w:rsidRDefault="0034634B">
      <w:pPr>
        <w:pStyle w:val="31"/>
        <w:rPr>
          <w:noProof/>
        </w:rPr>
      </w:pPr>
      <w:r>
        <w:rPr>
          <w:noProof/>
        </w:rPr>
        <w:t>Πρόοδος ως προς τη διατήρηση ή αποκατάσταση ικανοποιητικής κατάστασης διατήρησης ειδών και οικοτόπων</w:t>
      </w:r>
    </w:p>
    <w:p w:rsidR="00EE1CB7" w:rsidRDefault="0034634B">
      <w:pPr>
        <w:rPr>
          <w:noProof/>
        </w:rPr>
      </w:pPr>
      <w:r>
        <w:rPr>
          <w:noProof/>
        </w:rPr>
        <w:t>Τα κράτη μέλη υποβάλλουν έκθεση σχετικά με την πρόοδο που συντελείται μόνο κάθε 6 χρόνια βάσει αμφότερων των οδηγιών</w:t>
      </w:r>
      <w:r>
        <w:rPr>
          <w:rStyle w:val="ae"/>
          <w:noProof/>
        </w:rPr>
        <w:footnoteReference w:id="29"/>
      </w:r>
      <w:r>
        <w:rPr>
          <w:noProof/>
        </w:rPr>
        <w:t xml:space="preserve">. Συνολικά, αναγνωρίζεται ότι πρόσφατα αναφέρθηκαν </w:t>
      </w:r>
      <w:r>
        <w:rPr>
          <w:i/>
          <w:noProof/>
        </w:rPr>
        <w:t>βελτιώσεις</w:t>
      </w:r>
      <w:r>
        <w:rPr>
          <w:noProof/>
        </w:rPr>
        <w:t xml:space="preserve"> στην κατάσταση των ειδών και των οικοτόπων στην Ελλάδα.</w:t>
      </w:r>
    </w:p>
    <w:p w:rsidR="00EE1CB7" w:rsidRDefault="0034634B">
      <w:pPr>
        <w:widowControl w:val="0"/>
        <w:rPr>
          <w:rFonts w:eastAsiaTheme="minorEastAsia"/>
          <w:noProof/>
          <w:color w:val="1F497D" w:themeColor="text2"/>
        </w:rPr>
      </w:pPr>
      <w:r>
        <w:rPr>
          <w:rFonts w:eastAsiaTheme="minorEastAsia"/>
          <w:noProof/>
          <w:color w:val="1F497D" w:themeColor="text2"/>
        </w:rPr>
        <w:t>Δράσεις προτεραιότητας για το 2019</w:t>
      </w:r>
    </w:p>
    <w:p w:rsidR="00EE1CB7" w:rsidRDefault="0034634B">
      <w:pPr>
        <w:pStyle w:val="SuggActions"/>
        <w:rPr>
          <w:i/>
          <w:iCs/>
        </w:rPr>
      </w:pPr>
      <w:bookmarkStart w:id="43" w:name="_Toc433296161"/>
      <w:r>
        <w:t>Θέσπιση σαφώς προσδιορισμένων στόχων διατήρησης για τους τόπους του δικτύου Natura 2000 και ολοκλήρωση και υλοποίηση των σχεδίων διαχείρισης και των νομικών μέσων για όλους τους τόπους.</w:t>
      </w:r>
    </w:p>
    <w:p w:rsidR="00EE1CB7" w:rsidRDefault="0034634B">
      <w:pPr>
        <w:pStyle w:val="SuggActions"/>
        <w:rPr>
          <w:i/>
          <w:iCs/>
        </w:rPr>
      </w:pPr>
      <w:r>
        <w:t>Ολοκλήρωση και υλοποίηση των σχεδίων διαχείρισης και των νομικών μέσων για όλους τους τόπους. Διασφάλιση της αποτελεσματικής λειτουργίας όλων των διευρυμένων ή νεοσυσταθέντων φορέων διαχείρισης, με σαφείς αρμοδιότητες και επαρκείς πόρους και χρηματοδότηση.</w:t>
      </w:r>
    </w:p>
    <w:p w:rsidR="00EE1CB7" w:rsidRDefault="0034634B">
      <w:pPr>
        <w:pStyle w:val="SuggActions"/>
        <w:rPr>
          <w:i/>
          <w:iCs/>
        </w:rPr>
      </w:pPr>
      <w:r>
        <w:t>Καλύτερη ενσωμάτωση των πτυχών που αφορούν τη βιοποικιλότητα σε άλλες πολιτικές και προώθηση της καλύτερης επικοινωνίας μεταξύ των παραγόντων.</w:t>
      </w:r>
    </w:p>
    <w:p w:rsidR="00EE1CB7" w:rsidRDefault="0034634B">
      <w:pPr>
        <w:pStyle w:val="SuggActions"/>
        <w:rPr>
          <w:i/>
          <w:iCs/>
        </w:rPr>
      </w:pPr>
      <w:r>
        <w:t xml:space="preserve">Αύξηση της ικανότητας των αρμόδιων αρχών </w:t>
      </w:r>
      <w:r>
        <w:lastRenderedPageBreak/>
        <w:t>(κεντρικοί και περιφερειακοί φορείς, φορείς διαχείρισης τόπων) για: i) εφαρμογή μέτρων διατήρησης για καλύτερη ενημέρωση σχετικά με το Natura 2000 και τα οφέλη του· ii) αύξηση της ενημέρωσης σχετικά με τα οικονομικά οφέλη των υγιών οικοσυστημάτων και παροχή κινήτρων για επενδύσεις σε αυτά· και iii) βελτίωση της επιβολής της νομοθεσίας για την αντιμετώπιση των παράνομων δραστηριοτήτων που προκαλούν βλάβη στην άγρια χλωρίδα και πανίδα, τόσο στο πλαίσιο όσο και εκτός των περιοχών του δικτύου Natura 2000.</w:t>
      </w:r>
    </w:p>
    <w:p w:rsidR="00EE1CB7" w:rsidRDefault="0034634B">
      <w:pPr>
        <w:pStyle w:val="SuggActions"/>
        <w:rPr>
          <w:i/>
          <w:iCs/>
        </w:rPr>
      </w:pPr>
      <w:r>
        <w:t>Βελτίωση της ποιότητας των κατάλληλων εκτιμήσεων σε επίπεδο σχεδίων και έργων και διασφάλιση της επαρκούς παρακολούθησης των περιβαλλοντικών επιπτώσεών τους.</w:t>
      </w:r>
    </w:p>
    <w:p w:rsidR="00EE1CB7" w:rsidRDefault="0034634B">
      <w:pPr>
        <w:pStyle w:val="21"/>
        <w:rPr>
          <w:noProof/>
        </w:rPr>
      </w:pPr>
      <w:bookmarkStart w:id="44" w:name="_Toc525660372"/>
      <w:bookmarkStart w:id="45" w:name="_Toc546018"/>
      <w:bookmarkStart w:id="46" w:name="_Toc13470661"/>
      <w:bookmarkStart w:id="47" w:name="_Toc509391842"/>
      <w:r>
        <w:rPr>
          <w:noProof/>
        </w:rPr>
        <w:t>Διατήρηση και αποκατάσταση των οικοσυστημάτων και των υπηρεσιών που παρέχουν</w:t>
      </w:r>
      <w:bookmarkEnd w:id="44"/>
      <w:bookmarkEnd w:id="45"/>
      <w:bookmarkEnd w:id="46"/>
    </w:p>
    <w:p w:rsidR="00EE1CB7" w:rsidRDefault="0034634B">
      <w:pPr>
        <w:shd w:val="clear" w:color="auto" w:fill="4F81BD" w:themeFill="accent1"/>
        <w:spacing w:after="240"/>
        <w:rPr>
          <w:rFonts w:ascii="Calibri" w:eastAsia="Calibri" w:hAnsi="Calibri" w:cs="Times New Roman"/>
          <w:noProof/>
          <w:color w:val="FFFFFF" w:themeColor="background1"/>
        </w:rPr>
      </w:pPr>
      <w:r>
        <w:rPr>
          <w:rFonts w:ascii="Calibri" w:hAnsi="Calibri"/>
          <w:noProof/>
          <w:color w:val="FFFFFF" w:themeColor="background1"/>
        </w:rPr>
        <w:t>Η στρατηγική της ΕΕ για τη βιοποικιλότητα έχει ως στόχο τη διατήρηση και αποκατάσταση των οικοσυστημάτων και των υπηρεσιών που παρέχουν, με την ένταξη της πράσινης υποδομής στον χωροταξικό σχεδιασμό και την αποκατάσταση τουλάχιστον του 15 % των υποβαθμισμένων οικοσυστημάτων μέχρι το 2020. Η στρατηγική της ΕΕ για την πράσινη υποδομή προωθεί την ενσωμάτωση πράσινης υποδομής σε σχετικά σχέδια και προγράμματα.</w:t>
      </w:r>
    </w:p>
    <w:p w:rsidR="00EE1CB7" w:rsidRDefault="0034634B">
      <w:pPr>
        <w:rPr>
          <w:rFonts w:eastAsia="Times New Roman" w:cs="Calibri"/>
          <w:noProof/>
          <w:szCs w:val="20"/>
        </w:rPr>
      </w:pPr>
      <w:r>
        <w:rPr>
          <w:noProof/>
        </w:rPr>
        <w:t>Η ΕΕ παρείχε καθοδήγηση σχετικά με την περαιτέρω ανάπτυξη πράσινης και γαλάζιας υποδομής στην Ελλάδα</w:t>
      </w:r>
      <w:r>
        <w:rPr>
          <w:rStyle w:val="ae"/>
          <w:noProof/>
        </w:rPr>
        <w:footnoteReference w:id="30"/>
      </w:r>
      <w:r>
        <w:rPr>
          <w:noProof/>
        </w:rPr>
        <w:t>, καθώς και ειδική σελίδα για τη χώρα στο σύστημα πληροφοριών για τη βιοποικιλότητα στην Ευρώπη (Biodiversity Information System for Europe – BISE)</w:t>
      </w:r>
      <w:r>
        <w:rPr>
          <w:noProof/>
          <w:vertAlign w:val="superscript"/>
        </w:rPr>
        <w:footnoteReference w:id="31"/>
      </w:r>
      <w:r>
        <w:rPr>
          <w:noProof/>
        </w:rPr>
        <w:t>. Τα εν λόγω στοιχεία θα συμβάλουν επίσης στην τελική αξιολόγηση της στρατηγικής της ΕΕ για τη βιοποικιλότητα μέχρι το 2020.</w:t>
      </w:r>
    </w:p>
    <w:p w:rsidR="00EE1CB7" w:rsidRDefault="0034634B">
      <w:pPr>
        <w:rPr>
          <w:noProof/>
        </w:rPr>
      </w:pPr>
      <w:r>
        <w:rPr>
          <w:noProof/>
        </w:rPr>
        <w:t>Στην Εθνική Στρατηγική της Ελλάδας για τη Βιοποικιλότητα του 2014 γίνεται αναφορά στην πράσινη υποδομή. Ωστόσο, οι πτυχές της πράσινης υποδομής δεν έχουν ενσωματωθεί ακόμη σε άλλους τομείς πολιτικής, όπως η μείωση του κινδύνου καταστροφών ή η αστική ανάπτυξη. Αρκετά έργα και πρωτοβουλίες έχουν τη δυνατότητα να στηρίξουν τη συνδεσιμότητα και να συμβάλουν στην υλοποίηση της πράσινης υποδομής.</w:t>
      </w:r>
    </w:p>
    <w:p w:rsidR="00EE1CB7" w:rsidRDefault="0034634B">
      <w:pPr>
        <w:rPr>
          <w:noProof/>
        </w:rPr>
      </w:pPr>
      <w:r>
        <w:rPr>
          <w:noProof/>
        </w:rPr>
        <w:t>Στην Ελλάδα υπάρχει έλλειψη χώρων πρασίνου στον αστικό ιστό. Η διατήρηση των παράκτιων και θαλάσσιων εκτάσεων αποτελεί επίσης πρόκληση. Αυτό οφείλεται σε παράγοντες όπως: i) υψηλή συγκέντρωση ανθρώπινων δραστηριοτήτων και χρήσης της γης· ii) έλλειψη πολιτικής βούλησης· iii) απουσία ολοκληρωμένου σχεδιασμού για τη διατήρηση και διαχείριση των εν λόγω περιοχών· iv) ανεπαρκείς μηχανισμοί ελέγχου· και v) έλλειψη συντονισμού μεταξύ των αρμόδιων αρχών.</w:t>
      </w:r>
    </w:p>
    <w:p w:rsidR="00EE1CB7" w:rsidRDefault="0034634B">
      <w:pPr>
        <w:pStyle w:val="21"/>
        <w:rPr>
          <w:noProof/>
        </w:rPr>
      </w:pPr>
      <w:bookmarkStart w:id="48" w:name="_Toc525660373"/>
      <w:bookmarkStart w:id="49" w:name="_Toc546019"/>
      <w:bookmarkStart w:id="50" w:name="_Toc13470662"/>
      <w:r>
        <w:rPr>
          <w:noProof/>
        </w:rPr>
        <w:t>Εκτίμηση του φυσικού κεφαλαίου</w:t>
      </w:r>
      <w:bookmarkEnd w:id="48"/>
      <w:bookmarkEnd w:id="49"/>
      <w:bookmarkEnd w:id="50"/>
    </w:p>
    <w:p w:rsidR="00EE1CB7" w:rsidRDefault="0034634B">
      <w:pPr>
        <w:shd w:val="clear" w:color="auto" w:fill="4F81BD" w:themeFill="accent1"/>
        <w:spacing w:after="240"/>
        <w:rPr>
          <w:rFonts w:ascii="Calibri" w:eastAsia="Calibri" w:hAnsi="Calibri" w:cs="Calibri"/>
          <w:noProof/>
          <w:color w:val="FFFFFF" w:themeColor="background1"/>
        </w:rPr>
      </w:pPr>
      <w:r>
        <w:rPr>
          <w:rFonts w:ascii="Calibri" w:hAnsi="Calibri"/>
          <w:noProof/>
          <w:color w:val="FFFFFF" w:themeColor="background1"/>
        </w:rPr>
        <w:t xml:space="preserve">Η στρατηγική της ΕΕ για τη βιοποικιλότητα καλεί τα κράτη μέλη να χαρτογραφήσουν και να εκτιμήσουν την κατάσταση των οικοσυστημάτων και των </w:t>
      </w:r>
      <w:r>
        <w:rPr>
          <w:rFonts w:ascii="Calibri" w:hAnsi="Calibri"/>
          <w:noProof/>
          <w:color w:val="F2F2F2" w:themeColor="background1" w:themeShade="F2"/>
        </w:rPr>
        <w:t>υπηρεσιών</w:t>
      </w:r>
      <w:r>
        <w:rPr>
          <w:rStyle w:val="ae"/>
          <w:noProof/>
          <w:color w:val="F2F2F2" w:themeColor="background1" w:themeShade="F2"/>
        </w:rPr>
        <w:footnoteReference w:id="32"/>
      </w:r>
      <w:r>
        <w:rPr>
          <w:rFonts w:ascii="Calibri" w:hAnsi="Calibri"/>
          <w:noProof/>
          <w:color w:val="F2F2F2" w:themeColor="background1" w:themeShade="F2"/>
        </w:rPr>
        <w:t xml:space="preserve"> τους στην </w:t>
      </w:r>
      <w:r>
        <w:rPr>
          <w:rFonts w:ascii="Calibri" w:hAnsi="Calibri"/>
          <w:noProof/>
          <w:color w:val="FFFFFF" w:themeColor="background1"/>
        </w:rPr>
        <w:t>επικράτειά τους μέχρι το 2014 και, μέχρι το 2020, να εκτιμήσουν την οικονομική αξία των υπηρεσιών αυτών και να την ενσωματώσουν στα συστήματα λογιστικής και υποβολής στοιχείων σε ενωσιακό και εθνικό επίπεδο.</w:t>
      </w:r>
    </w:p>
    <w:p w:rsidR="00EE1CB7" w:rsidRDefault="0034634B">
      <w:pPr>
        <w:rPr>
          <w:noProof/>
        </w:rPr>
      </w:pPr>
      <w:r>
        <w:rPr>
          <w:noProof/>
        </w:rPr>
        <w:t>Από το 2014, η πολιτική σημασία της χαρτογράφησης και αξιολόγησης των οικοσυστημάτων και των υπηρεσιών τους (MAES) έχει αυξηθεί στην Ελλάδα και δρομολογήθηκαν συγκεκριμένες προπαρασκευαστικές δράσεις. Η Ελληνική Εταιρική Σχέση Οικοσυστημικών Υπηρεσιών (Hellenic Ecosystem Services Partnership - HESP) συντονίζει τις προσπάθειες αξιολόγησης των οικοσυστημικών υπηρεσιών στην Ελλάδα. Οι στόχοι της είναι οι εξής: i) κατάρτιση χαρτών των οικοσυστημικών υπηρεσιών σε εθνικό επίπεδο· ii) δημιουργία ισχυρού δικτύου έρευνας, πρακτικής και πολιτικής· και iii) αύξηση της ενημέρωσης σχετικά με την αξία των οικοσυστημάτων και των υπηρεσιών τους. Επίσης, η HESP συνεργάζεται με άλλες ομάδες εργασίας MAES (την εταιρική σχέση για τις οικοσυστημικές υπηρεσίες, την ομάδα εργασίας για τη Μεσόγειο και την ομάδα εργασίας για τη θάλασσα).</w:t>
      </w:r>
    </w:p>
    <w:p w:rsidR="00EE1CB7" w:rsidRDefault="0034634B">
      <w:pPr>
        <w:rPr>
          <w:noProof/>
        </w:rPr>
      </w:pPr>
      <w:r>
        <w:rPr>
          <w:noProof/>
        </w:rPr>
        <w:t>Η HESP προσάρμοσε το εννοιολογικό της πλαίσιο ώστε να ανταποκρίνεται στον στόχο της εθνικής αξιολόγησης των οικοσυστημικών υπηρεσιών. Επί του παρόντος, υλοποιεί το σχέδιο δράσης της, το οποίο συνεχίζεται έως το 2020, για την αξιολόγηση των οικοσυστημικών υπηρεσιών στην Ελλάδα. Στόχος της είναι να ολοκληρώσει τις βιοφυσικές εκτιμήσεις το 2018 και να παρέχει τα αποτελέσματα για τη στήριξη της λήψης αποφάσεων από τώρα και μέχρι το 2020</w:t>
      </w:r>
      <w:r>
        <w:rPr>
          <w:rStyle w:val="ae"/>
          <w:noProof/>
        </w:rPr>
        <w:footnoteReference w:id="33"/>
      </w:r>
      <w:r>
        <w:rPr>
          <w:noProof/>
        </w:rPr>
        <w:t>.</w:t>
      </w:r>
    </w:p>
    <w:p w:rsidR="00EE1CB7" w:rsidRDefault="0034634B">
      <w:pPr>
        <w:rPr>
          <w:noProof/>
        </w:rPr>
      </w:pPr>
      <w:r>
        <w:rPr>
          <w:noProof/>
        </w:rPr>
        <w:lastRenderedPageBreak/>
        <w:t>Το ολοκληρωμένο έργο LIFE «4 Natura» ξεκίνησε το 2017. Το έργο περιλαμβάνει χαρτογράφηση και αξιολόγηση των τύπων οικοσυστημάτων της χώρας και των υπηρεσιών τους. Επίσης, περιλαμβάνει περιπτωσιολογικές μελέτες MAES σε επιλεγμένες περιφέρειες.</w:t>
      </w:r>
    </w:p>
    <w:p w:rsidR="00EE1CB7" w:rsidRDefault="0034634B">
      <w:pPr>
        <w:rPr>
          <w:noProof/>
        </w:rPr>
      </w:pPr>
      <w:r>
        <w:rPr>
          <w:noProof/>
        </w:rPr>
        <w:t>Το 2018 διεξάχθηκαν μια σειρά από εργαστήρια MAES στην Ελλάδα και, για τη στήριξή τους, δημοσιεύτηκαν δύο έγγραφα τεχνικής καθοδήγησης MAES</w:t>
      </w:r>
      <w:r>
        <w:rPr>
          <w:rStyle w:val="ae"/>
          <w:noProof/>
        </w:rPr>
        <w:footnoteReference w:id="34"/>
      </w:r>
      <w:r>
        <w:rPr>
          <w:noProof/>
        </w:rPr>
        <w:t>.</w:t>
      </w:r>
    </w:p>
    <w:p w:rsidR="00EE1CB7" w:rsidRDefault="0034634B">
      <w:pPr>
        <w:rPr>
          <w:noProof/>
        </w:rPr>
      </w:pPr>
      <w:r>
        <w:rPr>
          <w:noProof/>
        </w:rPr>
        <w:t>Ενώ υπάρχει αρκετή ακαδημαϊκή έρευνα σχετικά με τις οικοσυστημικές υπηρεσίες στην Ελλάδα, η ενημέρωση άλλων κοινωνικών ομάδων, συμπεριλαμβανομένων των φορέων λήψης αποφάσεων, είναι πολύ περιορισμένη. Ο ρόλος του κράτους εξακολουθεί να είναι δύσκολο να εκτιμηθεί.</w:t>
      </w:r>
    </w:p>
    <w:p w:rsidR="00EE1CB7" w:rsidRDefault="0034634B">
      <w:pPr>
        <w:rPr>
          <w:noProof/>
        </w:rPr>
      </w:pPr>
      <w:r>
        <w:rPr>
          <w:noProof/>
        </w:rPr>
        <w:t>Στη συνεδρίαση της ομάδας εργασίας MAES στις Βρυξέλλες τον Σεπτέμβριο του 2018, ανακοινώθηκε ότι η Ελλάδα έχει σημειώσει ουσιώδη πρόοδο από τον Ιανουάριο του 2016 όσον αφορά την υλοποίηση της MAES (βλ. διάγραμμα 11). Η εν λόγω αξιολόγηση, η οποία επικαιροποιείται ανά εξάμηνο, υποστηρίζεται από το έργο ESMERALDA (Enhancing ecoSysteM sERvices mApping for poLicy and Decision mAking)</w:t>
      </w:r>
      <w:r>
        <w:rPr>
          <w:rStyle w:val="ae"/>
          <w:noProof/>
        </w:rPr>
        <w:footnoteReference w:id="35"/>
      </w:r>
      <w:r>
        <w:rPr>
          <w:noProof/>
        </w:rPr>
        <w:t xml:space="preserve"> και βασίζεται σε 27 ερωτήματα για την υλοποίηση.</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tblGrid>
      <w:tr w:rsidR="00EE1CB7">
        <w:trPr>
          <w:trHeight w:val="349"/>
        </w:trPr>
        <w:tc>
          <w:tcPr>
            <w:tcW w:w="4673" w:type="dxa"/>
          </w:tcPr>
          <w:p w:rsidR="00EE1CB7" w:rsidRDefault="0034634B">
            <w:pPr>
              <w:rPr>
                <w:b/>
                <w:bCs/>
                <w:noProof/>
                <w:color w:val="1F497D" w:themeColor="text2"/>
              </w:rPr>
            </w:pPr>
            <w:r>
              <w:rPr>
                <w:b/>
                <w:noProof/>
                <w:color w:val="1F497D" w:themeColor="text2"/>
              </w:rPr>
              <w:t>Διάγραμμα 10: Υλοποίηση της MAES (Σεπτέμβριος 2018)</w:t>
            </w:r>
          </w:p>
        </w:tc>
      </w:tr>
      <w:tr w:rsidR="00EE1CB7">
        <w:trPr>
          <w:trHeight w:val="349"/>
        </w:trPr>
        <w:tc>
          <w:tcPr>
            <w:tcW w:w="4673" w:type="dxa"/>
          </w:tcPr>
          <w:p w:rsidR="00EE1CB7" w:rsidRDefault="0034634B">
            <w:pPr>
              <w:rPr>
                <w:b/>
                <w:noProof/>
                <w:color w:val="1F497D" w:themeColor="text2"/>
              </w:rPr>
            </w:pPr>
            <w:r>
              <w:rPr>
                <w:b/>
                <w:noProof/>
                <w:color w:val="1F497D" w:themeColor="text2"/>
                <w:lang w:bidi="ar-SA"/>
              </w:rPr>
              <w:drawing>
                <wp:inline distT="0" distB="0" distL="0" distR="0">
                  <wp:extent cx="2964815" cy="94234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64815" cy="942340"/>
                          </a:xfrm>
                          <a:prstGeom prst="rect">
                            <a:avLst/>
                          </a:prstGeom>
                          <a:noFill/>
                          <a:ln>
                            <a:noFill/>
                          </a:ln>
                        </pic:spPr>
                      </pic:pic>
                    </a:graphicData>
                  </a:graphic>
                </wp:inline>
              </w:drawing>
            </w:r>
          </w:p>
        </w:tc>
      </w:tr>
    </w:tbl>
    <w:p w:rsidR="00EE1CB7" w:rsidRDefault="0034634B">
      <w:pPr>
        <w:rPr>
          <w:noProof/>
        </w:rPr>
      </w:pPr>
      <w:r>
        <w:rPr>
          <w:noProof/>
        </w:rPr>
        <w:t>Οι πλατφόρμες, τα δίκτυα και οι κοινότητες πρακτικής άσκησης επιχειρήσεων και βιοποικιλότητας αποτελούν βασικά εργαλεία για την προώθηση και διευκόλυνση των εκτιμήσεων φυσικού κεφαλαίου σε παρόχους επιχειρηματικών και οικονομικών υπηρεσιών, για παράδειγμα μέσω του πρωτοκόλλου της Natural Capital Coalition (Συμμαχία για το φυσικό κεφάλαιο)</w:t>
      </w:r>
      <w:r>
        <w:rPr>
          <w:rStyle w:val="ae"/>
          <w:noProof/>
        </w:rPr>
        <w:footnoteReference w:id="36"/>
      </w:r>
      <w:r>
        <w:rPr>
          <w:noProof/>
        </w:rPr>
        <w:t xml:space="preserve">. Οι εκτιμήσεις συνεισφέρουν στη στρατηγική της ΕΕ για τη βιοποικιλότητα, καθώς βοηθούν τις ιδιωτικές επιχειρήσεις να κατανοήσουν καλύτερα και να εκτιμήσουν τόσο τον αντίκτυπό τους στη φύση όσο και </w:t>
      </w:r>
      <w:r>
        <w:rPr>
          <w:noProof/>
        </w:rPr>
        <w:t>την εξάρτησή τους από αυτήν. Πλατφόρμες για τη βιοποικιλότητα έχουν δημιουργηθεί σε επίπεδο ΕΕ</w:t>
      </w:r>
      <w:r>
        <w:rPr>
          <w:rStyle w:val="ae"/>
          <w:noProof/>
        </w:rPr>
        <w:footnoteReference w:id="37"/>
      </w:r>
      <w:r>
        <w:rPr>
          <w:noProof/>
        </w:rPr>
        <w:t xml:space="preserve"> και σε ορισμένα κράτη μέλη.</w:t>
      </w:r>
    </w:p>
    <w:p w:rsidR="00EE1CB7" w:rsidRDefault="0034634B">
      <w:pPr>
        <w:rPr>
          <w:noProof/>
        </w:rPr>
      </w:pPr>
      <w:r>
        <w:rPr>
          <w:noProof/>
        </w:rPr>
        <w:t>Η Ελλάδα δεν έχει δημιουργήσει ακόμη τέτοια πλατφόρμα.</w:t>
      </w:r>
    </w:p>
    <w:p w:rsidR="00EE1CB7" w:rsidRDefault="0034634B">
      <w:pPr>
        <w:pStyle w:val="21"/>
        <w:rPr>
          <w:noProof/>
        </w:rPr>
      </w:pPr>
      <w:bookmarkStart w:id="51" w:name="_Toc525660374"/>
      <w:bookmarkStart w:id="52" w:name="_Toc546020"/>
      <w:bookmarkStart w:id="53" w:name="_Toc13470663"/>
      <w:r>
        <w:rPr>
          <w:noProof/>
        </w:rPr>
        <w:t>Χωροκατακτητικά ξένα είδη</w:t>
      </w:r>
      <w:bookmarkEnd w:id="51"/>
      <w:bookmarkEnd w:id="52"/>
      <w:bookmarkEnd w:id="53"/>
    </w:p>
    <w:p w:rsidR="00EE1CB7" w:rsidRDefault="0034634B">
      <w:pPr>
        <w:shd w:val="clear" w:color="auto" w:fill="4F81BD" w:themeFill="accent1"/>
        <w:spacing w:after="0"/>
        <w:rPr>
          <w:rFonts w:ascii="Calibri" w:eastAsia="Calibri" w:hAnsi="Calibri" w:cs="Calibri"/>
          <w:noProof/>
          <w:color w:val="FFFFFF" w:themeColor="background1"/>
        </w:rPr>
      </w:pPr>
      <w:r>
        <w:rPr>
          <w:rFonts w:ascii="Calibri" w:hAnsi="Calibri"/>
          <w:noProof/>
          <w:color w:val="FFFFFF" w:themeColor="background1"/>
        </w:rPr>
        <w:t xml:space="preserve">Σύμφωνα με τη στρατηγική της ΕΕ για τη βιοποικιλότητα, θα πρέπει να επιτευχθούν τα ακόλουθα έως το 2020: </w:t>
      </w:r>
    </w:p>
    <w:p w:rsidR="00EE1CB7" w:rsidRDefault="0034634B">
      <w:pPr>
        <w:shd w:val="clear" w:color="auto" w:fill="4F81BD" w:themeFill="accent1"/>
        <w:spacing w:after="0"/>
        <w:rPr>
          <w:rFonts w:ascii="Calibri" w:eastAsia="Calibri" w:hAnsi="Calibri" w:cs="Calibri"/>
          <w:noProof/>
          <w:color w:val="FFFFFF" w:themeColor="background1"/>
        </w:rPr>
      </w:pPr>
      <w:r>
        <w:rPr>
          <w:rFonts w:ascii="Calibri" w:hAnsi="Calibri"/>
          <w:noProof/>
          <w:color w:val="FFFFFF" w:themeColor="background1"/>
        </w:rPr>
        <w:t xml:space="preserve">i) ταυτοποίηση των χωροκατακτητικών ξένων ειδών· </w:t>
      </w:r>
    </w:p>
    <w:p w:rsidR="00EE1CB7" w:rsidRDefault="0034634B">
      <w:pPr>
        <w:shd w:val="clear" w:color="auto" w:fill="4F81BD" w:themeFill="accent1"/>
        <w:spacing w:after="0"/>
        <w:rPr>
          <w:rFonts w:ascii="Calibri" w:eastAsia="Calibri" w:hAnsi="Calibri" w:cs="Calibri"/>
          <w:noProof/>
          <w:color w:val="FFFFFF" w:themeColor="background1"/>
        </w:rPr>
      </w:pPr>
      <w:r>
        <w:rPr>
          <w:rFonts w:ascii="Calibri" w:hAnsi="Calibri"/>
          <w:noProof/>
          <w:color w:val="FFFFFF" w:themeColor="background1"/>
        </w:rPr>
        <w:t xml:space="preserve">ii) έλεγχος ή εξάλειψη των ειδών προτεραιότητας· και </w:t>
      </w:r>
    </w:p>
    <w:p w:rsidR="00EE1CB7" w:rsidRDefault="0034634B">
      <w:pPr>
        <w:shd w:val="clear" w:color="auto" w:fill="4F81BD" w:themeFill="accent1"/>
        <w:spacing w:after="0"/>
        <w:rPr>
          <w:rFonts w:ascii="Calibri" w:eastAsia="Calibri" w:hAnsi="Calibri" w:cs="Calibri"/>
          <w:noProof/>
          <w:color w:val="FFFFFF" w:themeColor="background1"/>
        </w:rPr>
      </w:pPr>
      <w:r>
        <w:rPr>
          <w:rFonts w:ascii="Calibri" w:hAnsi="Calibri"/>
          <w:noProof/>
          <w:color w:val="FFFFFF" w:themeColor="background1"/>
        </w:rPr>
        <w:t xml:space="preserve">iii) διαχείριση των διαδρομών κατά τρόπο ώστε να προλαμβάνεται η διατάραξη της βιοποικιλότητας στην Ευρώπη από νέα χωροκατακτητικά είδη. </w:t>
      </w:r>
    </w:p>
    <w:p w:rsidR="00EE1CB7" w:rsidRDefault="0034634B">
      <w:pPr>
        <w:shd w:val="clear" w:color="auto" w:fill="4F81BD" w:themeFill="accent1"/>
        <w:spacing w:after="240"/>
        <w:rPr>
          <w:rFonts w:eastAsia="Calibri" w:cs="Calibri"/>
          <w:b/>
          <w:noProof/>
          <w:color w:val="FFFFFF" w:themeColor="background1"/>
          <w:sz w:val="24"/>
        </w:rPr>
      </w:pPr>
      <w:r>
        <w:rPr>
          <w:rFonts w:ascii="Calibri" w:hAnsi="Calibri"/>
          <w:noProof/>
          <w:color w:val="FFFFFF" w:themeColor="background1"/>
        </w:rPr>
        <w:t>Αυτές οι δράσεις στηρίζονται από τον κανονισμό για τα χωροκατακτητικά ξένη είδη, ο οποίος άρχισε να ισχύει από την 1η Ιανουαρίου 2015.</w:t>
      </w:r>
    </w:p>
    <w:p w:rsidR="00EE1CB7" w:rsidRDefault="0034634B">
      <w:pPr>
        <w:rPr>
          <w:noProof/>
        </w:rPr>
      </w:pPr>
      <w:r>
        <w:rPr>
          <w:noProof/>
        </w:rPr>
        <w:t>Το δίκτυο για την κατανομή των χωροκατακτητικών ξένων ειδών στην Ελλάδα (βλ. διάγραμμα 12), το οποίο έχει επαληθευτεί από την Ελλάδα, δείχνει ότι από τα 37 είδη που περιλαμβάνονται στον πρώτο κατάλογο της ΕΕ, οκτώ έχουν παρατηρηθεί στο περιβάλλον. Και τα οκτώ χωροκατακτητικά ξένα είδη είναι εγκατεστημένα στην Ελλάδα, ωστόσο κανένα δεν είναι ευρέως εξαπλωμένο. Σύμφωνα με τα δεδομένα, η Ελλάδα φαίνεται να έχει λιγότερη εισβολή σε σχέση με τις γειτονικές της χώρες, ωστόσο αυτό μπορεί να οφείλεται σε χαμηλότερο βαθμό επάρκειας διαθέσιμων δεδομένων, καθώς τα είδη που παρατίθενται στον κατάλογο δεν υπόκειντο σε επιτήρηση πριν από την έγκριση του καταλόγου της ΕΕ.</w:t>
      </w:r>
    </w:p>
    <w:p w:rsidR="00EE1CB7" w:rsidRDefault="0034634B">
      <w:pPr>
        <w:rPr>
          <w:noProof/>
        </w:rPr>
      </w:pPr>
      <w:r>
        <w:rPr>
          <w:noProof/>
        </w:rPr>
        <w:t>Μεταξύ της έναρξης ισχύος του καταλόγου της ΕΕ και της 18ης Μαΐου 2018, η Ελλάδα δεν είχε γνωστοποιήσει άλλη εμφάνιση χωροκατακτητικού ξένου είδους ενωσιακού ενδιαφέροντος, σύμφωνα με το άρθρο 16 παράγραφος 2 του κανονισμού για τα χωροκατακτητικά ξένα είδη.</w:t>
      </w:r>
    </w:p>
    <w:p w:rsidR="00EE1CB7" w:rsidRDefault="0034634B">
      <w:pPr>
        <w:rPr>
          <w:noProof/>
        </w:rPr>
      </w:pPr>
      <w:r>
        <w:rPr>
          <w:noProof/>
        </w:rPr>
        <w:t>Σύμφωνα με την κατανομή αναφοράς, η Ελλάδα είναι ένα από τα λίγα κράτη μέλη με τοπικό πληθυσμό ινδικής κουρούνας (</w:t>
      </w:r>
      <w:r>
        <w:rPr>
          <w:i/>
          <w:noProof/>
        </w:rPr>
        <w:t>Corvus splendens</w:t>
      </w:r>
      <w:r>
        <w:rPr>
          <w:noProof/>
        </w:rPr>
        <w:t>) και το συγκεκριμένο είδος βρίσκεται ακόμη σε πρώιμο στάδιο εισβολής στην Ευρώπη. Ομοίως, ο μυοκάστορας (</w:t>
      </w:r>
      <w:r>
        <w:rPr>
          <w:i/>
          <w:noProof/>
        </w:rPr>
        <w:t>Myocastor coypu</w:t>
      </w:r>
      <w:r>
        <w:rPr>
          <w:noProof/>
        </w:rPr>
        <w:t>) φαίνεται να βρίσκεται ακόμη σε πρώιμο στάδιο εισβολής στην Ελλάδα.</w:t>
      </w:r>
    </w:p>
    <w:p w:rsidR="00EE1CB7" w:rsidRDefault="0034634B">
      <w:pPr>
        <w:rPr>
          <w:noProof/>
        </w:rPr>
      </w:pPr>
      <w:r>
        <w:rPr>
          <w:noProof/>
        </w:rPr>
        <w:t xml:space="preserve">Σύμφωνα με τον κανονισμό για τα χωροκατακτητικά ξένα είδη, η Ελλάδα γνωστοποίησε στην Επιτροπή τις </w:t>
      </w:r>
      <w:r>
        <w:rPr>
          <w:noProof/>
        </w:rPr>
        <w:lastRenderedPageBreak/>
        <w:t>αρμόδιες αρχές της που είναι επιφορτισμένες με την εφαρμογή του κανονισμού (άρθρο 24 παράγραφος 2). Δεν είναι ακόμη σαφής ο τρόπος με τον οποίο η Ελλάδα θα εφαρμόσει τις διατάξεις σχετικά με τις κυρώσεις που ισχύουν σε περίπτωση παράβασης (άρθρο 30 παράγραφος 4).</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4634B" w:rsidTr="0034634B">
        <w:tc>
          <w:tcPr>
            <w:tcW w:w="9288" w:type="dxa"/>
          </w:tcPr>
          <w:p w:rsidR="0034634B" w:rsidRDefault="0034634B" w:rsidP="0034634B">
            <w:pPr>
              <w:rPr>
                <w:rFonts w:eastAsiaTheme="minorEastAsia"/>
                <w:noProof/>
              </w:rPr>
            </w:pPr>
            <w:r>
              <w:rPr>
                <w:rFonts w:eastAsiaTheme="minorEastAsia"/>
                <w:b/>
                <w:noProof/>
                <w:color w:val="1F497D" w:themeColor="text2"/>
              </w:rPr>
              <w:t>Διάγραμμα 11: Αριθμός χωροκατακτητικών ξένων ειδών ενωσιακού ενδιαφέροντος, με βάση διαθέσιμες πληροφορίες με γεωγραφικές αναφορές για την Ελλάδα</w:t>
            </w:r>
            <w:r>
              <w:rPr>
                <w:rStyle w:val="ae"/>
                <w:noProof/>
              </w:rPr>
              <w:footnoteReference w:id="38"/>
            </w:r>
          </w:p>
        </w:tc>
      </w:tr>
      <w:tr w:rsidR="0034634B" w:rsidTr="0034634B">
        <w:tc>
          <w:tcPr>
            <w:tcW w:w="9288" w:type="dxa"/>
          </w:tcPr>
          <w:p w:rsidR="0034634B" w:rsidRDefault="0034634B" w:rsidP="0034634B">
            <w:pPr>
              <w:rPr>
                <w:rFonts w:asciiTheme="minorEastAsia" w:eastAsiaTheme="minorEastAsia" w:hAnsiTheme="minorEastAsia" w:cstheme="minorEastAsia"/>
                <w:noProof/>
              </w:rPr>
            </w:pPr>
            <w:r>
              <w:rPr>
                <w:rFonts w:cstheme="minorHAnsi"/>
                <w:noProof/>
                <w:lang w:bidi="ar-SA"/>
              </w:rPr>
              <w:drawing>
                <wp:inline distT="0" distB="0" distL="0" distR="0" wp14:anchorId="706FC950" wp14:editId="0B8B0617">
                  <wp:extent cx="3095625" cy="2736533"/>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L.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101899" cy="2742080"/>
                          </a:xfrm>
                          <a:prstGeom prst="rect">
                            <a:avLst/>
                          </a:prstGeom>
                        </pic:spPr>
                      </pic:pic>
                    </a:graphicData>
                  </a:graphic>
                </wp:inline>
              </w:drawing>
            </w:r>
          </w:p>
        </w:tc>
      </w:tr>
    </w:tbl>
    <w:p w:rsidR="00EE1CB7" w:rsidRDefault="0034634B">
      <w:pPr>
        <w:rPr>
          <w:noProof/>
          <w:color w:val="1F497D" w:themeColor="text2"/>
          <w:sz w:val="22"/>
        </w:rPr>
      </w:pPr>
      <w:r>
        <w:rPr>
          <w:noProof/>
          <w:color w:val="1F497D" w:themeColor="text2"/>
          <w:sz w:val="22"/>
        </w:rPr>
        <w:t>Δράσεις προτεραιότητας για το 2019</w:t>
      </w:r>
    </w:p>
    <w:p w:rsidR="00EE1CB7" w:rsidRDefault="0034634B">
      <w:pPr>
        <w:pStyle w:val="SuggActions"/>
      </w:pPr>
      <w:r>
        <w:t>Άμεση θέσπιση εθνικής νομοθεσίας για τη συμμόρφωση με τις υποχρεώσεις που απαιτούνται βάσει του άρθρου 30 παράγραφος 4 του κανονισμού για τα χωροκατακτητικά ξένα είδη και σχετική κοινοποίηση προς την Επιτροπή.</w:t>
      </w:r>
    </w:p>
    <w:p w:rsidR="00EE1CB7" w:rsidRDefault="0034634B">
      <w:pPr>
        <w:pStyle w:val="SuggActions"/>
      </w:pPr>
      <w:r>
        <w:t>Διερεύνηση της εμφανούς έλλειψης δεδομένων και αναζήτηση τρόπων βελτίωσης του οικείου συστήματος επιτήρησης.</w:t>
      </w:r>
    </w:p>
    <w:p w:rsidR="00EE1CB7" w:rsidRDefault="0034634B">
      <w:pPr>
        <w:pStyle w:val="SuggActions"/>
      </w:pPr>
      <w:r>
        <w:t>Προσπάθεια εξάλειψης του είδους σε πρώιμο στάδιο εισβολής για την αποφυγή σημαντικού μακροπρόθεσμου κόστους διαχείρισης.</w:t>
      </w:r>
    </w:p>
    <w:p w:rsidR="00EE1CB7" w:rsidRDefault="0034634B">
      <w:pPr>
        <w:pStyle w:val="21"/>
        <w:rPr>
          <w:noProof/>
        </w:rPr>
      </w:pPr>
      <w:bookmarkStart w:id="54" w:name="_Toc525660375"/>
      <w:r>
        <w:rPr>
          <w:noProof/>
        </w:rPr>
        <w:br w:type="column"/>
      </w:r>
      <w:bookmarkStart w:id="55" w:name="_Toc546021"/>
      <w:bookmarkStart w:id="56" w:name="_Toc13470664"/>
      <w:r>
        <w:rPr>
          <w:noProof/>
        </w:rPr>
        <w:t>Προστασία του εδάφους</w:t>
      </w:r>
      <w:bookmarkEnd w:id="47"/>
      <w:bookmarkEnd w:id="54"/>
      <w:bookmarkEnd w:id="55"/>
      <w:bookmarkEnd w:id="56"/>
    </w:p>
    <w:p w:rsidR="00EE1CB7" w:rsidRDefault="0034634B">
      <w:pPr>
        <w:widowControl w:val="0"/>
        <w:shd w:val="clear" w:color="auto" w:fill="4F81BD"/>
        <w:suppressAutoHyphens/>
        <w:spacing w:after="240"/>
        <w:rPr>
          <w:rFonts w:ascii="Calibri" w:eastAsia="Calibri" w:hAnsi="Calibri" w:cs="Calibri"/>
          <w:noProof/>
          <w:color w:val="FFFFFF"/>
          <w:szCs w:val="20"/>
        </w:rPr>
      </w:pPr>
      <w:r>
        <w:rPr>
          <w:rFonts w:ascii="Calibri" w:hAnsi="Calibri"/>
          <w:noProof/>
          <w:color w:val="FFFFFF"/>
        </w:rPr>
        <w:t>Η θεματική στρατηγική της ΕΕ για το έδαφος υπογραμμίζει την ανάγκη να εξασφαλιστεί η αειφόρος χρήση του εδάφους. Αυτό προϋποθέτει την αποτροπή της περαιτέρω υποβάθμισης του εδάφους και τη διατήρηση των λειτουργιών του, καθώς και την αποκατάσταση υποβαθμισμένων εδαφών. Στον χάρτη πορείας του 2011 για μια αποδοτική, από πλευράς πόρων, Ευρώπη αναφέρεται ότι, μέχρι το 2020, οι πολιτικές της ΕΕ πρέπει να συνεκτιμούν τις άμεσες και έμμεσες επιπτώσεις τους στις χρήσεις γης.</w:t>
      </w:r>
    </w:p>
    <w:p w:rsidR="00EE1CB7" w:rsidRDefault="0034634B">
      <w:pPr>
        <w:rPr>
          <w:rFonts w:ascii="Calibri" w:eastAsia="Calibri" w:hAnsi="Calibri" w:cs="Times New Roman"/>
          <w:noProof/>
        </w:rPr>
      </w:pPr>
      <w:r>
        <w:rPr>
          <w:rFonts w:ascii="Calibri" w:hAnsi="Calibri"/>
          <w:noProof/>
        </w:rPr>
        <w:t>Το έδαφος είναι ένας πεπερασμένος και εξαιρετικά εύθραυστος πόρος και υποβαθμίζεται ολοένα και περισσότερο στην ΕΕ.</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EE1CB7">
        <w:tc>
          <w:tcPr>
            <w:tcW w:w="4909" w:type="dxa"/>
          </w:tcPr>
          <w:p w:rsidR="00EE1CB7" w:rsidRDefault="0034634B">
            <w:pPr>
              <w:rPr>
                <w:b/>
                <w:bCs/>
                <w:noProof/>
                <w:color w:val="1F497D" w:themeColor="text2"/>
              </w:rPr>
            </w:pPr>
            <w:r>
              <w:rPr>
                <w:b/>
                <w:noProof/>
                <w:color w:val="1F497D" w:themeColor="text2"/>
              </w:rPr>
              <w:t>Διάγραμμα 12: Ποσοστό κάλυψης γης από τεχνητές επιφάνειες, 2015</w:t>
            </w:r>
            <w:r>
              <w:rPr>
                <w:noProof/>
                <w:color w:val="1F497D" w:themeColor="text2"/>
              </w:rPr>
              <w:t xml:space="preserve"> </w:t>
            </w:r>
            <w:r>
              <w:rPr>
                <w:rStyle w:val="ae"/>
                <w:noProof/>
              </w:rPr>
              <w:footnoteReference w:id="39"/>
            </w:r>
          </w:p>
        </w:tc>
      </w:tr>
      <w:tr w:rsidR="00EE1CB7">
        <w:tc>
          <w:tcPr>
            <w:tcW w:w="4909" w:type="dxa"/>
          </w:tcPr>
          <w:p w:rsidR="00EE1CB7" w:rsidRDefault="0034634B">
            <w:pPr>
              <w:rPr>
                <w:b/>
                <w:bCs/>
                <w:noProof/>
                <w:color w:val="1F497D" w:themeColor="text2"/>
              </w:rPr>
            </w:pPr>
            <w:r>
              <w:rPr>
                <w:b/>
                <w:bCs/>
                <w:noProof/>
                <w:color w:val="1F497D" w:themeColor="text2"/>
                <w:lang w:bidi="ar-SA"/>
              </w:rPr>
              <w:drawing>
                <wp:inline distT="0" distB="0" distL="0" distR="0">
                  <wp:extent cx="2969972" cy="4093684"/>
                  <wp:effectExtent l="0" t="0" r="190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70824" cy="4094858"/>
                          </a:xfrm>
                          <a:prstGeom prst="rect">
                            <a:avLst/>
                          </a:prstGeom>
                          <a:noFill/>
                        </pic:spPr>
                      </pic:pic>
                    </a:graphicData>
                  </a:graphic>
                </wp:inline>
              </w:drawing>
            </w:r>
          </w:p>
        </w:tc>
      </w:tr>
    </w:tbl>
    <w:p w:rsidR="00EE1CB7" w:rsidRDefault="0034634B">
      <w:pPr>
        <w:rPr>
          <w:noProof/>
        </w:rPr>
      </w:pPr>
      <w:r>
        <w:rPr>
          <w:noProof/>
        </w:rPr>
        <w:t>Το ποσοστό κάλυψης της Ελλάδας από τεχνητές επιφάνειες βρίσκεται κάτω από τον μέσο όρο της ΕΕ (3,3 % έναντι 4,1 %)</w:t>
      </w:r>
      <w:r>
        <w:rPr>
          <w:rFonts w:ascii="Calibri" w:hAnsi="Calibri"/>
          <w:noProof/>
          <w:sz w:val="22"/>
        </w:rPr>
        <w:t>.</w:t>
      </w:r>
      <w:r>
        <w:rPr>
          <w:noProof/>
        </w:rPr>
        <w:t xml:space="preserve"> Η πυκνότητα του πληθυσμού </w:t>
      </w:r>
      <w:r>
        <w:rPr>
          <w:noProof/>
        </w:rPr>
        <w:lastRenderedPageBreak/>
        <w:t>είναι 82,4/km</w:t>
      </w:r>
      <w:r>
        <w:rPr>
          <w:noProof/>
          <w:vertAlign w:val="superscript"/>
        </w:rPr>
        <w:t>2</w:t>
      </w:r>
      <w:r>
        <w:rPr>
          <w:noProof/>
        </w:rPr>
        <w:t xml:space="preserve"> και υπολείπεται επίσης του μέσου όρου της ΕΕ (118)</w:t>
      </w:r>
      <w:r>
        <w:rPr>
          <w:rStyle w:val="ae"/>
          <w:noProof/>
        </w:rPr>
        <w:footnoteReference w:id="40"/>
      </w:r>
      <w:r>
        <w:rPr>
          <w:noProof/>
        </w:rPr>
        <w:t>.</w:t>
      </w:r>
    </w:p>
    <w:p w:rsidR="00EE1CB7" w:rsidRDefault="0034634B">
      <w:pPr>
        <w:rPr>
          <w:rFonts w:cstheme="minorHAnsi"/>
          <w:noProof/>
          <w:szCs w:val="20"/>
        </w:rPr>
      </w:pPr>
      <w:r>
        <w:rPr>
          <w:noProof/>
        </w:rPr>
        <w:t>Η ρύπανση μπορεί να υποβαθμίσει σοβαρά την ποιότητα του εδάφους και να απειλήσει την ανθρώπινη υγεία ή το περιβάλλον. Σε πρόσφατη έκθεση της Ευρωπαϊκής Επιτροπής</w:t>
      </w:r>
      <w:r>
        <w:rPr>
          <w:rFonts w:cstheme="minorHAnsi"/>
          <w:noProof/>
          <w:vertAlign w:val="superscript"/>
        </w:rPr>
        <w:footnoteReference w:id="41"/>
      </w:r>
      <w:r>
        <w:rPr>
          <w:noProof/>
        </w:rPr>
        <w:t xml:space="preserve"> εκτιμάται ότι σε περίπου 2,8 εκατ. τοποθεσίες στην ΕΕ έχουν διεξαχθεί ή εξακολουθούν να διεξάγονται δυνάμει ρυπογόνες δραστηριότητες. Σε επίπεδο ΕΕ, 650 000 από τις εν λόγω τοποθεσίες έχουν καταχωριστεί σε εθνικούς ή περιφερειακούς καταλόγους απογραφής. Ήδη, έχουν αποκατασταθεί 65 500 μολυσμένες τοποθεσίες. Η Ελλάδα δεν έχει υποβάλει έκθεση για την πρόοδο της χώρας όσον αφορά τη διαχείριση μολυσμένων τοποθεσιών και εγκαταλελειμμένων βιομηχανικών εκτάσεων στην ομάδα εργασίας του ευρωπαϊκού δικτύου πληροφοριών και παρατηρήσεων σχετικά με το περιβάλλον (EIONET) που είναι αρμόδια για αυτό το θέμα.</w:t>
      </w:r>
    </w:p>
    <w:p w:rsidR="00EE1CB7" w:rsidRDefault="0034634B">
      <w:pPr>
        <w:rPr>
          <w:noProof/>
        </w:rPr>
      </w:pPr>
      <w:bookmarkStart w:id="57" w:name="_Toc454460681"/>
      <w:bookmarkEnd w:id="43"/>
      <w:r>
        <w:rPr>
          <w:noProof/>
        </w:rPr>
        <w:t xml:space="preserve">Η διάβρωση του εδάφους από το νερό είναι μια φυσική διαδικασία, αλλά αυτή η φυσική διαδικασία μπορεί να επιβαρυνθεί από την κλιματική αλλαγή και από ανθρώπινες δραστηριότητες, όπως ακατάλληλες γεωργικές πρακτικές, αποψίλωση των δασών, δασικές πυρκαγιές ή κατασκευαστικά έργα. Τα υψηλά επίπεδα διάβρωσης του εδάφους μπορούν να μειώσουν την παραγωγικότητα στη γεωργία και μπορούν να έχουν αρνητικές και διασυνοριακές επιπτώσεις στη βιοποικιλότητα και τις οικοσυστημικές υπηρεσίες. Επίσης, τα υψηλά επίπεδα διάβρωσης του εδάφους μπορούν να έχουν αρνητικές και διασυνοριακές επιπτώσεις στους ποταμούς και τις λίμνες (λόγω αύξησης του όγκου των ιζημάτων και μεταφοράς ρύπων). </w:t>
      </w:r>
    </w:p>
    <w:p w:rsidR="00EE1CB7" w:rsidRDefault="0034634B">
      <w:pPr>
        <w:rPr>
          <w:noProof/>
        </w:rPr>
      </w:pPr>
      <w:r>
        <w:rPr>
          <w:noProof/>
        </w:rPr>
        <w:t>Σύμφωνα με το μοντέλο RUSLE2015</w:t>
      </w:r>
      <w:r>
        <w:rPr>
          <w:rStyle w:val="ae"/>
          <w:noProof/>
        </w:rPr>
        <w:footnoteReference w:id="42"/>
      </w:r>
      <w:r>
        <w:rPr>
          <w:noProof/>
        </w:rPr>
        <w:t>, η Ελλάδα έχει μέσο ρυθμό απώλειας εδάφους από το νερό 4,13 τόνους ανά εκτάριο ετησίως (t ha</w:t>
      </w:r>
      <w:r>
        <w:rPr>
          <w:noProof/>
          <w:vertAlign w:val="superscript"/>
        </w:rPr>
        <w:t>−a</w:t>
      </w:r>
      <w:r>
        <w:rPr>
          <w:noProof/>
        </w:rPr>
        <w:t> yr</w:t>
      </w:r>
      <w:r>
        <w:rPr>
          <w:noProof/>
          <w:vertAlign w:val="superscript"/>
        </w:rPr>
        <w:t>−y</w:t>
      </w:r>
      <w:r>
        <w:rPr>
          <w:noProof/>
        </w:rPr>
        <w:t>), σε σύγκριση με τη μέση τιμή στην ΕΕ, που αντιστοιχεί σε 2,46 t ha</w:t>
      </w:r>
      <w:r>
        <w:rPr>
          <w:noProof/>
          <w:vertAlign w:val="superscript"/>
        </w:rPr>
        <w:t>−a</w:t>
      </w:r>
      <w:r>
        <w:rPr>
          <w:noProof/>
        </w:rPr>
        <w:t> yr</w:t>
      </w:r>
      <w:r>
        <w:rPr>
          <w:noProof/>
          <w:vertAlign w:val="superscript"/>
        </w:rPr>
        <w:t>−y</w:t>
      </w:r>
      <w:r>
        <w:rPr>
          <w:noProof/>
        </w:rPr>
        <w:t xml:space="preserve">. Αυτό υποδεικνύει ότι </w:t>
      </w:r>
      <w:r>
        <w:rPr>
          <w:noProof/>
          <w:color w:val="000000"/>
        </w:rPr>
        <w:t>η διάβρωση του εδάφους στην Ελλάδα δεν συμβαδίζει με τον μέσο όρο της ΕΕ</w:t>
      </w:r>
      <w:r>
        <w:rPr>
          <w:noProof/>
        </w:rPr>
        <w:t xml:space="preserve">. Σημειώνεται ότι τα εν λόγω αριθμητικά στοιχεία είναι αποτέλεσμα μοντέλου σε επίπεδο ΕΕ που βασίζεται στη βροχόπτωση, τις υποστηρικτικές πρακτικές, την εδαφοκάλυψη, τα </w:t>
      </w:r>
      <w:r>
        <w:rPr>
          <w:noProof/>
        </w:rPr>
        <w:t>χαρακτηριστικά εδάφους και της κλίσης του εδάφους, και, ως εκ τούτου, δεν μπορούν να θεωρούνται τοπικά μετρηθείσες τιμές. Ο πραγματικός ρυθμός απώλειας εδαφών μπορεί να ποικίλει σε μεγάλο βαθμό εντός του κράτους μέλους, ανάλογα με τις τοπικές συνθήκες.</w:t>
      </w:r>
    </w:p>
    <w:p w:rsidR="00EE1CB7" w:rsidRDefault="0034634B">
      <w:pPr>
        <w:rPr>
          <w:noProof/>
        </w:rPr>
      </w:pPr>
      <w:r>
        <w:rPr>
          <w:noProof/>
        </w:rPr>
        <w:t>Η οργανική ύλη στο έδαφος παίζει σημαντικό ρόλο στον κύκλο του άνθρακα και στην κλιματική αλλαγή. Το έδαφος είναι η δεύτερη μεγαλύτερη αποθήκη άνθρακα στον κόσμο, μετά τους ωκεανούς.</w:t>
      </w:r>
    </w:p>
    <w:p w:rsidR="00EE1CB7" w:rsidRDefault="0034634B">
      <w:pPr>
        <w:pStyle w:val="21"/>
        <w:rPr>
          <w:noProof/>
        </w:rPr>
      </w:pPr>
      <w:bookmarkStart w:id="58" w:name="_Toc509391843"/>
      <w:bookmarkStart w:id="59" w:name="_Toc525660376"/>
      <w:bookmarkStart w:id="60" w:name="_Toc546022"/>
      <w:bookmarkStart w:id="61" w:name="_Toc13470665"/>
      <w:bookmarkEnd w:id="57"/>
      <w:r>
        <w:rPr>
          <w:noProof/>
        </w:rPr>
        <w:t>Προστασία του θαλάσσιου περιβάλλοντος</w:t>
      </w:r>
      <w:bookmarkEnd w:id="58"/>
      <w:bookmarkEnd w:id="59"/>
      <w:bookmarkEnd w:id="60"/>
      <w:bookmarkEnd w:id="61"/>
    </w:p>
    <w:p w:rsidR="00EE1CB7" w:rsidRDefault="0034634B">
      <w:pPr>
        <w:widowControl w:val="0"/>
        <w:shd w:val="clear" w:color="auto" w:fill="4F81BD"/>
        <w:suppressAutoHyphens/>
        <w:spacing w:after="240"/>
        <w:rPr>
          <w:rFonts w:eastAsia="Calibri" w:cstheme="minorHAnsi"/>
          <w:noProof/>
          <w:color w:val="FFFFFF"/>
          <w:szCs w:val="20"/>
        </w:rPr>
      </w:pPr>
      <w:r>
        <w:rPr>
          <w:rFonts w:cstheme="minorHAnsi"/>
          <w:noProof/>
          <w:color w:val="FFFFFF"/>
        </w:rPr>
        <w:t>Η πολιτική και η νομοθεσία της ΕΕ για τις παράκτιες και θαλάσσιες περιοχές ορίζει ότι πρέπει να αμβλυνθούν οι επιπτώσεις των πιέσεων στα θαλάσσια ύδατα μέχρι το 2020, με στόχο την επίτευξη ή τη διατήρηση καλής περιβαλλοντικής κατάστασης και την εξασφάλιση της βιώσιμης διαχείρισης των παράκτιων ζωνών.</w:t>
      </w:r>
    </w:p>
    <w:p w:rsidR="00EE1CB7" w:rsidRDefault="0034634B">
      <w:pPr>
        <w:rPr>
          <w:noProof/>
        </w:rPr>
      </w:pPr>
      <w:r>
        <w:rPr>
          <w:noProof/>
        </w:rPr>
        <w:t>Η οδηγία-πλαίσιο για τη θαλάσσια στρατηγική</w:t>
      </w:r>
      <w:r>
        <w:rPr>
          <w:rStyle w:val="ae"/>
          <w:noProof/>
        </w:rPr>
        <w:footnoteReference w:id="43"/>
      </w:r>
      <w:r>
        <w:rPr>
          <w:noProof/>
        </w:rPr>
        <w:t xml:space="preserve"> θέτει ως στόχο την επίτευξη καλής περιβαλλοντικής κατάστασης στα θαλάσσια ύδατα της ΕΕ έως το 2020. Προς τον σκοπό αυτό, τα κράτη μέλη πρέπει να αναπτύξουν θαλάσσια στρατηγική για τα θαλάσσια ύδατά τους, καθώς και να συνεργάζονται με τις χώρες της ΕΕ που υπάγονται στην ίδια θαλάσσια (υπο)περιφέρεια. </w:t>
      </w:r>
    </w:p>
    <w:p w:rsidR="00EE1CB7" w:rsidRDefault="0034634B">
      <w:pPr>
        <w:rPr>
          <w:noProof/>
        </w:rPr>
      </w:pPr>
      <w:r>
        <w:rPr>
          <w:noProof/>
          <w:lang w:bidi="ar-SA"/>
        </w:rPr>
        <w:drawing>
          <wp:inline distT="0" distB="0" distL="0" distR="0">
            <wp:extent cx="2980055" cy="1266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ettyImages-891498472.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980055" cy="1266825"/>
                    </a:xfrm>
                    <a:prstGeom prst="rect">
                      <a:avLst/>
                    </a:prstGeom>
                  </pic:spPr>
                </pic:pic>
              </a:graphicData>
            </a:graphic>
          </wp:inline>
        </w:drawing>
      </w:r>
      <w:r>
        <w:rPr>
          <w:noProof/>
        </w:rPr>
        <w:t>Για την Ελλάδα, η σύμβαση για την προστασία του θαλασσίου περιβάλλοντος και των παρακτίων περιοχών της Μεσογείου (σύμβαση της Βαρκελώνης) παίζει σημαντικό ρόλο στην επίτευξη των στόχων που απαιτούνται δυνάμει της οδηγίας-πλαισίου για τη θαλάσσια στρατηγική. Οι εν λόγω θαλάσσιες στρατηγικές περιλαμβάνουν διάφορα στάδια που πρέπει να αναπτυχθούν και να υλοποιηθούν σε εξαετείς κύκλους. Σύμφωνα με το τελευταίο στάδιο, τα κράτη μέλη έπρεπε να θεσπίσουν το πρόγραμμα μέτρων τους και να υποβάλουν σχετική έκθεση στην Επιτροπή έως την 31η Μαρτίου 2016.</w:t>
      </w:r>
    </w:p>
    <w:p w:rsidR="00EE1CB7" w:rsidRDefault="0034634B">
      <w:pPr>
        <w:rPr>
          <w:noProof/>
        </w:rPr>
      </w:pPr>
      <w:r>
        <w:rPr>
          <w:noProof/>
        </w:rPr>
        <w:t xml:space="preserve">Στην περίπτωση της Ελλάδας, η Επιτροπή δεν μπόρεσε να εκτιμήσει κατά πόσον τα μέτρα της ήταν κατάλληλα για την επίτευξη καλής περιβαλλοντικής κατάστασης, δεδομένου ότι η χώρα υπέβαλε έκθεση για τα μέτρα </w:t>
      </w:r>
      <w:r>
        <w:rPr>
          <w:noProof/>
        </w:rPr>
        <w:lastRenderedPageBreak/>
        <w:t>πολύ εκπρόθεσμα και η Επιτροπή δεν ήταν σε θέση να τα συμπεριλάβει στην εν λόγω αξιολόγηση.</w:t>
      </w:r>
    </w:p>
    <w:p w:rsidR="00EE1CB7" w:rsidRDefault="0034634B">
      <w:pPr>
        <w:widowControl w:val="0"/>
        <w:rPr>
          <w:rFonts w:eastAsiaTheme="minorEastAsia" w:cstheme="minorEastAsia"/>
          <w:noProof/>
          <w:color w:val="1F497D" w:themeColor="text2"/>
          <w:sz w:val="22"/>
        </w:rPr>
      </w:pPr>
      <w:r>
        <w:rPr>
          <w:rFonts w:eastAsiaTheme="minorEastAsia" w:cstheme="minorEastAsia"/>
          <w:noProof/>
          <w:color w:val="1F497D" w:themeColor="text2"/>
          <w:sz w:val="22"/>
        </w:rPr>
        <w:t>Δράση προτεραιότητας για το 2019</w:t>
      </w:r>
    </w:p>
    <w:p w:rsidR="00EE1CB7" w:rsidRDefault="0034634B">
      <w:pPr>
        <w:pStyle w:val="SuggActions"/>
        <w:rPr>
          <w:rFonts w:ascii="Times New Roman,Calibri" w:eastAsia="Times New Roman,Calibri" w:hAnsi="Times New Roman,Calibri" w:cs="Times New Roman,Calibri"/>
          <w:i/>
          <w:iCs/>
        </w:rPr>
      </w:pPr>
      <w:bookmarkStart w:id="62" w:name="_Toc433296162"/>
      <w:r>
        <w:t>Διασφάλιση της έγκαιρης υποβολής εκθέσεων σχετικά με τα διάφορα στοιχεία δυνάμει της οδηγίας-πλαισίου για τη θαλάσσια στρατηγική, προκειμένου η Ελλάδα να μπορεί να συμπεριληφθεί σε μελλοντικές εκτιμήσεις της Επιτροπής.</w:t>
      </w:r>
    </w:p>
    <w:p w:rsidR="00EE1CB7" w:rsidRDefault="0034634B">
      <w:pPr>
        <w:pStyle w:val="a1"/>
        <w:rPr>
          <w:noProof/>
        </w:rPr>
      </w:pPr>
      <w:r>
        <w:rPr>
          <w:noProof/>
        </w:rPr>
        <w:br w:type="page"/>
      </w:r>
    </w:p>
    <w:p w:rsidR="00EE1CB7" w:rsidRDefault="00EE1CB7">
      <w:pPr>
        <w:rPr>
          <w:noProof/>
        </w:rPr>
      </w:pPr>
    </w:p>
    <w:bookmarkEnd w:id="62"/>
    <w:p w:rsidR="00EE1CB7" w:rsidRDefault="00EE1CB7">
      <w:pPr>
        <w:widowControl w:val="0"/>
        <w:rPr>
          <w:rFonts w:cs="Times New Roman"/>
          <w:noProof/>
        </w:rPr>
        <w:sectPr w:rsidR="00EE1CB7">
          <w:headerReference w:type="even" r:id="rId89"/>
          <w:headerReference w:type="default" r:id="rId90"/>
          <w:footerReference w:type="even" r:id="rId91"/>
          <w:footerReference w:type="default" r:id="rId92"/>
          <w:headerReference w:type="first" r:id="rId93"/>
          <w:footerReference w:type="first" r:id="rId94"/>
          <w:type w:val="continuous"/>
          <w:pgSz w:w="11906" w:h="16838"/>
          <w:pgMar w:top="1440" w:right="1080" w:bottom="1440" w:left="1080" w:header="708" w:footer="708" w:gutter="0"/>
          <w:cols w:num="2" w:space="360"/>
          <w:docGrid w:linePitch="360"/>
        </w:sectPr>
      </w:pPr>
    </w:p>
    <w:p w:rsidR="00EE1CB7" w:rsidRDefault="0034634B">
      <w:pPr>
        <w:widowControl w:val="0"/>
        <w:numPr>
          <w:ilvl w:val="0"/>
          <w:numId w:val="17"/>
        </w:numPr>
        <w:spacing w:after="0"/>
        <w:jc w:val="center"/>
        <w:outlineLvl w:val="0"/>
        <w:rPr>
          <w:rFonts w:eastAsiaTheme="majorBidi" w:cstheme="minorHAnsi"/>
          <w:b/>
          <w:bCs/>
          <w:noProof/>
          <w:color w:val="1F497D" w:themeColor="text2"/>
          <w:sz w:val="32"/>
          <w:szCs w:val="32"/>
        </w:rPr>
      </w:pPr>
      <w:bookmarkStart w:id="63" w:name="_Toc525660377"/>
      <w:bookmarkStart w:id="64" w:name="_Toc546023"/>
      <w:bookmarkStart w:id="65" w:name="_Toc13470666"/>
      <w:r>
        <w:rPr>
          <w:rFonts w:eastAsiaTheme="majorBidi" w:cstheme="minorHAnsi"/>
          <w:b/>
          <w:noProof/>
          <w:color w:val="1F497D" w:themeColor="text2"/>
          <w:sz w:val="32"/>
        </w:rPr>
        <w:t>Διασφάλιση της υγείας και της ποιότητας ζωής των πολιτών</w:t>
      </w:r>
      <w:bookmarkEnd w:id="63"/>
      <w:bookmarkEnd w:id="64"/>
      <w:bookmarkEnd w:id="65"/>
    </w:p>
    <w:p w:rsidR="00EE1CB7" w:rsidRDefault="00EE1CB7">
      <w:pPr>
        <w:widowControl w:val="0"/>
        <w:rPr>
          <w:rFonts w:cs="Times New Roman"/>
          <w:noProof/>
        </w:rPr>
      </w:pPr>
    </w:p>
    <w:p w:rsidR="00EE1CB7" w:rsidRDefault="00EE1CB7">
      <w:pPr>
        <w:widowControl w:val="0"/>
        <w:rPr>
          <w:rFonts w:cs="Times New Roman"/>
          <w:noProof/>
        </w:rPr>
        <w:sectPr w:rsidR="00EE1CB7">
          <w:headerReference w:type="even" r:id="rId95"/>
          <w:headerReference w:type="default" r:id="rId96"/>
          <w:footerReference w:type="even" r:id="rId97"/>
          <w:footerReference w:type="default" r:id="rId98"/>
          <w:headerReference w:type="first" r:id="rId99"/>
          <w:footerReference w:type="first" r:id="rId100"/>
          <w:type w:val="continuous"/>
          <w:pgSz w:w="11906" w:h="16838"/>
          <w:pgMar w:top="1440" w:right="1080" w:bottom="1440" w:left="1080" w:header="708" w:footer="708" w:gutter="0"/>
          <w:cols w:space="566"/>
          <w:docGrid w:linePitch="360"/>
        </w:sectPr>
      </w:pPr>
    </w:p>
    <w:p w:rsidR="00EE1CB7" w:rsidRDefault="0034634B">
      <w:pPr>
        <w:pStyle w:val="21"/>
        <w:rPr>
          <w:noProof/>
        </w:rPr>
      </w:pPr>
      <w:bookmarkStart w:id="66" w:name="_Toc525660378"/>
      <w:bookmarkStart w:id="67" w:name="_Toc546024"/>
      <w:bookmarkStart w:id="68" w:name="_Toc13470667"/>
      <w:bookmarkStart w:id="69" w:name="_Toc433296166"/>
      <w:bookmarkStart w:id="70" w:name="_Toc509391845"/>
      <w:bookmarkStart w:id="71" w:name="_Toc433296167"/>
      <w:r>
        <w:rPr>
          <w:noProof/>
        </w:rPr>
        <w:t>Ποιότητα του ατμοσφαιρικού αέρα</w:t>
      </w:r>
      <w:bookmarkEnd w:id="66"/>
      <w:bookmarkEnd w:id="67"/>
      <w:bookmarkEnd w:id="68"/>
    </w:p>
    <w:p w:rsidR="00EE1CB7" w:rsidRDefault="0034634B">
      <w:pPr>
        <w:widowControl w:val="0"/>
        <w:shd w:val="clear" w:color="auto" w:fill="4F81BD"/>
        <w:suppressAutoHyphens/>
        <w:spacing w:after="240"/>
        <w:rPr>
          <w:rFonts w:eastAsia="Calibri" w:cstheme="minorHAnsi"/>
          <w:noProof/>
          <w:color w:val="FFFFFF"/>
          <w:szCs w:val="20"/>
        </w:rPr>
      </w:pPr>
      <w:r>
        <w:rPr>
          <w:rFonts w:cstheme="minorHAnsi"/>
          <w:noProof/>
          <w:color w:val="FFFFFF"/>
        </w:rPr>
        <w:t>Η πολιτική και η νομοθεσία της ΕΕ για καθαρό αέρα απαιτούν σημαντική βελτίωση της ποιότητας του αέρα, ώστε η ΕΕ να προσεγγίσει τα συνιστώμενα επίπεδα ποιότητας της Παγκόσμιας Οργάνωσης Υγείας. Η ατμοσφαιρική ρύπανση και οι επιπτώσεις της στην ανθρώπινη υγεία, τα οικοσυστήματα και τη βιοποικιλότητα πρέπει να μειωθούν περαιτέρω, με μακροπρόθεσμο στόχο τη μη υπέρβαση κρίσιμων φορτίων και επιπέδων. Αυτό προϋποθέτει ένταση των προσπαθειών, ώστε να επιτευχθεί πλήρης συμμόρφωση με την ενωσιακή νομοθεσία για την ποιότητα του αέρα και καθορισμό στρατηγικών στόχων και δράσεων με ορίζοντα μετά το 2020.</w:t>
      </w:r>
    </w:p>
    <w:p w:rsidR="00EE1CB7" w:rsidRDefault="0034634B">
      <w:pPr>
        <w:rPr>
          <w:rFonts w:eastAsia="Calibri,Times New Roman"/>
          <w:noProof/>
        </w:rPr>
      </w:pPr>
      <w:r>
        <w:rPr>
          <w:noProof/>
        </w:rPr>
        <w:t>Η ΕΕ έχει εκπονήσει ολοκληρωμένη δέσμη νομοθετημάτων για την ποιότητα του αέρα</w:t>
      </w:r>
      <w:r>
        <w:rPr>
          <w:rStyle w:val="ae"/>
          <w:noProof/>
        </w:rPr>
        <w:footnoteReference w:id="44"/>
      </w:r>
      <w:r>
        <w:rPr>
          <w:noProof/>
        </w:rPr>
        <w:t>, η οποία καθιερώνει πρότυπα και στόχους με γνώμονα την υγεία για μια σειρά αέριων ρύπων.</w:t>
      </w:r>
    </w:p>
    <w:p w:rsidR="00EE1CB7" w:rsidRDefault="0034634B">
      <w:pPr>
        <w:rPr>
          <w:rFonts w:ascii="Calibri,Times New Roman" w:eastAsia="Calibri,Times New Roman" w:hAnsi="Calibri,Times New Roman" w:cs="Calibri,Times New Roman"/>
          <w:noProof/>
        </w:rPr>
      </w:pPr>
      <w:r>
        <w:rPr>
          <w:noProof/>
        </w:rPr>
        <w:t>Οι μειώσεις των εκπομπών μεταξύ των ετών 1990 και 2014 που αναφέρονταν στην προηγούμενη ΕΕΠΠ συνεχίστηκαν και κατά την περίοδο 2014-2016. Κατά την εν λόγω περίοδο, οι εκπομπές οξειδίων του θείου (SO</w:t>
      </w:r>
      <w:r>
        <w:rPr>
          <w:noProof/>
          <w:vertAlign w:val="subscript"/>
        </w:rPr>
        <w:t>x</w:t>
      </w:r>
      <w:r>
        <w:rPr>
          <w:noProof/>
        </w:rPr>
        <w:t>) μειώθηκαν κατά 19,74 %, οι εκπομπές αμμωνίας (NH</w:t>
      </w:r>
      <w:r>
        <w:rPr>
          <w:noProof/>
          <w:vertAlign w:val="subscript"/>
        </w:rPr>
        <w:t>3</w:t>
      </w:r>
      <w:r>
        <w:rPr>
          <w:noProof/>
        </w:rPr>
        <w:t>) μειώθηκαν κατά 5,52 %, οι εκπομπές πτητικών οργανικών ενώσεων (NMVOC) μειώθηκαν κατά 0,17 %, οι εκπομπές λεπτών αιωρούμενων σωματιδίων (PM</w:t>
      </w:r>
      <w:r>
        <w:rPr>
          <w:noProof/>
          <w:vertAlign w:val="subscript"/>
        </w:rPr>
        <w:t>2,5</w:t>
      </w:r>
      <w:r>
        <w:rPr>
          <w:noProof/>
        </w:rPr>
        <w:t>) μειώθηκαν κατά 10,11 % και οι εκπομπές οξειδίων του αζώτου (NO</w:t>
      </w:r>
      <w:r>
        <w:rPr>
          <w:noProof/>
          <w:vertAlign w:val="subscript"/>
        </w:rPr>
        <w:t>x</w:t>
      </w:r>
      <w:r>
        <w:rPr>
          <w:noProof/>
        </w:rPr>
        <w:t xml:space="preserve">) μειώθηκαν κατά 2,2 % </w:t>
      </w:r>
      <w:r>
        <w:rPr>
          <w:rFonts w:ascii="Calibri,Calibri,Times New Roman" w:hAnsi="Calibri,Calibri,Times New Roman"/>
          <w:noProof/>
        </w:rPr>
        <w:t>(β</w:t>
      </w:r>
      <w:r>
        <w:rPr>
          <w:rFonts w:ascii="Calibri,Times New Roman" w:hAnsi="Calibri,Times New Roman"/>
          <w:noProof/>
        </w:rPr>
        <w:t>λ.</w:t>
      </w:r>
      <w:r>
        <w:rPr>
          <w:noProof/>
        </w:rPr>
        <w:t xml:space="preserve"> διάγραμμα 14 για τις συνολικές εκπομπές PM</w:t>
      </w:r>
      <w:r>
        <w:rPr>
          <w:rFonts w:ascii="Times New Roman" w:hAnsi="Times New Roman"/>
          <w:noProof/>
          <w:vertAlign w:val="subscript"/>
        </w:rPr>
        <w:t>2,5</w:t>
      </w:r>
      <w:r>
        <w:rPr>
          <w:noProof/>
        </w:rPr>
        <w:t xml:space="preserve"> και NO</w:t>
      </w:r>
      <w:r>
        <w:rPr>
          <w:noProof/>
          <w:vertAlign w:val="subscript"/>
        </w:rPr>
        <w:t>x</w:t>
      </w:r>
      <w:r>
        <w:rPr>
          <w:noProof/>
        </w:rPr>
        <w:t xml:space="preserve"> ανά τομέα</w:t>
      </w:r>
      <w:r>
        <w:rPr>
          <w:rFonts w:ascii="Calibri,Times New Roman" w:hAnsi="Calibri,Times New Roman"/>
          <w:noProof/>
        </w:rPr>
        <w:t>).</w:t>
      </w:r>
    </w:p>
    <w:p w:rsidR="00EE1CB7" w:rsidRDefault="0034634B">
      <w:pPr>
        <w:rPr>
          <w:noProof/>
        </w:rPr>
      </w:pPr>
      <w:r>
        <w:rPr>
          <w:noProof/>
        </w:rPr>
        <w:t>Παρά τη μείωση των εκπομπών από το 1990, η χώρα πρέπει να καταβάλει πρόσθετη προσπάθεια για να εκπληρώσει τις δεσμεύσεις της όσον αφορά τη μείωση των εκπομπών (σε σχέση με τα επίπεδα του 2005) οι οποίες τίθενται από τη νέα οδηγία σχετικά με τα εθνικά ανώτατα όρια εκπομπών</w:t>
      </w:r>
      <w:r>
        <w:rPr>
          <w:rStyle w:val="ae"/>
          <w:rFonts w:cstheme="minorHAnsi"/>
          <w:noProof/>
        </w:rPr>
        <w:footnoteReference w:id="45"/>
      </w:r>
      <w:r>
        <w:rPr>
          <w:noProof/>
        </w:rPr>
        <w:t xml:space="preserve"> για την περίοδο 2020-2029, καθώς και για κάθε έτος, αρχής γενομένης από το 2030.</w:t>
      </w:r>
    </w:p>
    <w:p w:rsidR="00EE1CB7" w:rsidRDefault="0034634B">
      <w:pPr>
        <w:rPr>
          <w:noProof/>
        </w:rPr>
      </w:pPr>
      <w:r>
        <w:rPr>
          <w:noProof/>
        </w:rPr>
        <w:t>Την ίδια στιγμή, η ποιότητα του αέρα στην Ελλάδα εξακολουθεί να προκαλεί ανησυχίες. Για το 2015, ο Ευρωπαϊκός Οργανισμός Περιβάλλοντος εκτίμησε ότι περίπου 12 000 πρόωροι θάνατοι μπορούσαν να αποδοθούν στις συγκεντρώσεις λεπτών αιωρούμενων σωματιδίων</w:t>
      </w:r>
      <w:r>
        <w:rPr>
          <w:rStyle w:val="ae"/>
          <w:noProof/>
        </w:rPr>
        <w:footnoteReference w:id="46"/>
      </w:r>
      <w:r>
        <w:rPr>
          <w:noProof/>
        </w:rPr>
        <w:t xml:space="preserve">, περισσότεροι από 6 100 στις </w:t>
      </w:r>
      <w:r>
        <w:rPr>
          <w:noProof/>
        </w:rPr>
        <w:t>συγκεντρώσεις όζοντος</w:t>
      </w:r>
      <w:r>
        <w:rPr>
          <w:rStyle w:val="ae"/>
          <w:noProof/>
        </w:rPr>
        <w:footnoteReference w:id="47"/>
      </w:r>
      <w:r>
        <w:rPr>
          <w:noProof/>
        </w:rPr>
        <w:t xml:space="preserve"> και 2 300 πρόωροι θάνατοι στις συγκεντρώσεις</w:t>
      </w:r>
      <w:r>
        <w:rPr>
          <w:rStyle w:val="ae"/>
          <w:noProof/>
        </w:rPr>
        <w:footnoteReference w:id="48"/>
      </w:r>
      <w:r>
        <w:rPr>
          <w:noProof/>
        </w:rPr>
        <w:t xml:space="preserve"> διοξειδίου του αζώτου</w:t>
      </w:r>
      <w:r>
        <w:rPr>
          <w:rStyle w:val="ae"/>
          <w:noProof/>
        </w:rPr>
        <w:footnoteReference w:id="49"/>
      </w:r>
      <w:r>
        <w:rPr>
          <w:noProof/>
        </w:rPr>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EE1CB7">
        <w:tc>
          <w:tcPr>
            <w:tcW w:w="4909" w:type="dxa"/>
          </w:tcPr>
          <w:p w:rsidR="00EE1CB7" w:rsidRDefault="0034634B">
            <w:pPr>
              <w:keepNext/>
              <w:keepLines/>
              <w:rPr>
                <w:rFonts w:asciiTheme="minorHAnsi" w:eastAsiaTheme="minorEastAsia" w:hAnsiTheme="minorHAnsi" w:cstheme="minorBidi"/>
                <w:b/>
                <w:bCs/>
                <w:noProof/>
                <w:color w:val="1F497D" w:themeColor="text2"/>
              </w:rPr>
            </w:pPr>
            <w:r>
              <w:rPr>
                <w:rFonts w:asciiTheme="minorHAnsi" w:eastAsiaTheme="minorEastAsia" w:hAnsiTheme="minorHAnsi" w:cstheme="minorBidi"/>
                <w:b/>
                <w:noProof/>
                <w:color w:val="1F497D" w:themeColor="text2"/>
              </w:rPr>
              <w:t>Διάγραμμα 13: Εκπομπές PM</w:t>
            </w:r>
            <w:r>
              <w:rPr>
                <w:rFonts w:asciiTheme="minorHAnsi" w:eastAsiaTheme="minorEastAsia" w:hAnsiTheme="minorHAnsi" w:cstheme="minorBidi"/>
                <w:b/>
                <w:noProof/>
                <w:color w:val="1F497D" w:themeColor="text2"/>
                <w:vertAlign w:val="subscript"/>
              </w:rPr>
              <w:t>2,5</w:t>
            </w:r>
            <w:r>
              <w:rPr>
                <w:rFonts w:asciiTheme="minorHAnsi" w:eastAsiaTheme="minorEastAsia" w:hAnsiTheme="minorHAnsi" w:cstheme="minorBidi"/>
                <w:b/>
                <w:noProof/>
                <w:color w:val="1F497D" w:themeColor="text2"/>
              </w:rPr>
              <w:t xml:space="preserve"> και NOx ανά τομέα στην Ελλάδα</w:t>
            </w:r>
            <w:r>
              <w:rPr>
                <w:rStyle w:val="ae"/>
                <w:rFonts w:asciiTheme="minorHAnsi" w:eastAsiaTheme="minorEastAsia" w:hAnsiTheme="minorHAnsi" w:cstheme="minorBidi"/>
                <w:b/>
                <w:noProof/>
                <w:color w:val="1F497D" w:themeColor="text2"/>
              </w:rPr>
              <w:footnoteReference w:id="50"/>
            </w:r>
          </w:p>
        </w:tc>
      </w:tr>
      <w:tr w:rsidR="00EE1CB7">
        <w:tc>
          <w:tcPr>
            <w:tcW w:w="4909" w:type="dxa"/>
          </w:tcPr>
          <w:p w:rsidR="00EE1CB7" w:rsidRDefault="0034634B">
            <w:pPr>
              <w:keepNext/>
              <w:keepLines/>
              <w:rPr>
                <w:rFonts w:asciiTheme="minorHAnsi" w:eastAsiaTheme="minorEastAsia" w:hAnsiTheme="minorHAnsi" w:cstheme="minorBidi"/>
                <w:b/>
                <w:bCs/>
                <w:noProof/>
                <w:color w:val="1F497D" w:themeColor="text2"/>
              </w:rPr>
            </w:pPr>
            <w:r>
              <w:rPr>
                <w:rFonts w:eastAsiaTheme="minorEastAsia"/>
                <w:b/>
                <w:bCs/>
                <w:noProof/>
                <w:color w:val="1F497D" w:themeColor="text2"/>
                <w:lang w:bidi="ar-SA"/>
              </w:rPr>
              <w:drawing>
                <wp:inline distT="0" distB="0" distL="0" distR="0">
                  <wp:extent cx="3042831" cy="2596896"/>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043237" cy="2597243"/>
                          </a:xfrm>
                          <a:prstGeom prst="rect">
                            <a:avLst/>
                          </a:prstGeom>
                          <a:noFill/>
                        </pic:spPr>
                      </pic:pic>
                    </a:graphicData>
                  </a:graphic>
                </wp:inline>
              </w:drawing>
            </w:r>
          </w:p>
        </w:tc>
      </w:tr>
    </w:tbl>
    <w:p w:rsidR="00EE1CB7" w:rsidRDefault="0034634B">
      <w:pPr>
        <w:rPr>
          <w:noProof/>
        </w:rPr>
      </w:pPr>
      <w:r>
        <w:rPr>
          <w:noProof/>
        </w:rPr>
        <w:t>Η Ελλάδα δεν έχει υποβάλει δεδομένα σχετικά με τη συμμόρφωση με τους περιβαλλοντικούς στόχους για το 2016 και το 2017. Για το 2017, καταγράφηκαν υπερβάσεις που σχετίζονταν με την ετήσια οριακή τιμή για το διοξείδιο του αζώτου (NO</w:t>
      </w:r>
      <w:r>
        <w:rPr>
          <w:noProof/>
          <w:vertAlign w:val="subscript"/>
        </w:rPr>
        <w:t>2</w:t>
      </w:r>
      <w:r>
        <w:rPr>
          <w:noProof/>
        </w:rPr>
        <w:t>) σε 1 από τις 4 ζώνες ποιότητας του αέρα (Αθήνα) και σε 1 από τις 4 ζώνες για τα λεπτά αιωρούμενα σωματίδια (PM</w:t>
      </w:r>
      <w:r>
        <w:rPr>
          <w:noProof/>
          <w:vertAlign w:val="subscript"/>
        </w:rPr>
        <w:t>2,5</w:t>
      </w:r>
      <w:r>
        <w:rPr>
          <w:noProof/>
        </w:rPr>
        <w:t>). Επίσης, καταγράφηκαν υπερβάσεις που σχετίζονταν με τα αιωρούμενα σωματίδια (PM</w:t>
      </w:r>
      <w:r>
        <w:rPr>
          <w:noProof/>
          <w:vertAlign w:val="subscript"/>
        </w:rPr>
        <w:t>10</w:t>
      </w:r>
      <w:r>
        <w:rPr>
          <w:noProof/>
        </w:rPr>
        <w:t xml:space="preserve">) σε 3 (από τις 4) ζώνες ποιότητας του αέρα. </w:t>
      </w:r>
    </w:p>
    <w:p w:rsidR="00EE1CB7" w:rsidRDefault="0034634B">
      <w:pPr>
        <w:rPr>
          <w:noProof/>
        </w:rPr>
      </w:pPr>
      <w:r>
        <w:rPr>
          <w:noProof/>
        </w:rPr>
        <w:t>Βλ. διάγραμμα 15 για τον αριθμό ζωνών ποιότητας του αέρα με υπέρβαση των επιπέδων NO</w:t>
      </w:r>
      <w:r>
        <w:rPr>
          <w:noProof/>
          <w:vertAlign w:val="subscript"/>
        </w:rPr>
        <w:t>2</w:t>
      </w:r>
      <w:r>
        <w:rPr>
          <w:noProof/>
        </w:rPr>
        <w:t>, PM</w:t>
      </w:r>
      <w:r>
        <w:rPr>
          <w:noProof/>
          <w:vertAlign w:val="subscript"/>
        </w:rPr>
        <w:t>2,5</w:t>
      </w:r>
      <w:r>
        <w:rPr>
          <w:noProof/>
        </w:rPr>
        <w:t xml:space="preserve"> και PM</w:t>
      </w:r>
      <w:r>
        <w:rPr>
          <w:noProof/>
          <w:vertAlign w:val="subscript"/>
        </w:rPr>
        <w:t>10</w:t>
      </w:r>
      <w:r>
        <w:rPr>
          <w:noProof/>
        </w:rPr>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EE1CB7">
        <w:tc>
          <w:tcPr>
            <w:tcW w:w="4909" w:type="dxa"/>
          </w:tcPr>
          <w:p w:rsidR="00EE1CB7" w:rsidRDefault="0034634B">
            <w:pPr>
              <w:widowControl w:val="0"/>
              <w:rPr>
                <w:rFonts w:eastAsia="Times New Roman"/>
                <w:b/>
                <w:bCs/>
                <w:noProof/>
                <w:color w:val="1F497D" w:themeColor="text2"/>
              </w:rPr>
            </w:pPr>
            <w:r>
              <w:rPr>
                <w:b/>
                <w:noProof/>
                <w:color w:val="1F497D" w:themeColor="text2"/>
              </w:rPr>
              <w:lastRenderedPageBreak/>
              <w:t>Διάγραμμα 14: Ζώνες ποιότητας του αέρα με υπέρβαση των προτύπων ποιότητας του αέρα της ΕΕ το 2017</w:t>
            </w:r>
            <w:r>
              <w:rPr>
                <w:rStyle w:val="ae"/>
                <w:b/>
                <w:noProof/>
                <w:color w:val="1F497D" w:themeColor="text2"/>
              </w:rPr>
              <w:footnoteReference w:id="51"/>
            </w:r>
          </w:p>
        </w:tc>
      </w:tr>
      <w:tr w:rsidR="00EE1CB7">
        <w:tc>
          <w:tcPr>
            <w:tcW w:w="4909" w:type="dxa"/>
          </w:tcPr>
          <w:p w:rsidR="00EE1CB7" w:rsidRDefault="0034634B">
            <w:pPr>
              <w:widowControl w:val="0"/>
              <w:rPr>
                <w:rFonts w:eastAsia="Times New Roman"/>
                <w:b/>
                <w:bCs/>
                <w:noProof/>
                <w:color w:val="1F497D" w:themeColor="text2"/>
              </w:rPr>
            </w:pPr>
            <w:r>
              <w:rPr>
                <w:rFonts w:eastAsia="Times New Roman"/>
                <w:b/>
                <w:bCs/>
                <w:noProof/>
                <w:color w:val="1F497D" w:themeColor="text2"/>
                <w:lang w:bidi="ar-SA"/>
              </w:rPr>
              <w:drawing>
                <wp:inline distT="0" distB="0" distL="0" distR="0">
                  <wp:extent cx="2971800" cy="17735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71800" cy="1773555"/>
                          </a:xfrm>
                          <a:prstGeom prst="rect">
                            <a:avLst/>
                          </a:prstGeom>
                          <a:noFill/>
                          <a:ln>
                            <a:noFill/>
                          </a:ln>
                        </pic:spPr>
                      </pic:pic>
                    </a:graphicData>
                  </a:graphic>
                </wp:inline>
              </w:drawing>
            </w:r>
          </w:p>
        </w:tc>
      </w:tr>
    </w:tbl>
    <w:p w:rsidR="00EE1CB7" w:rsidRDefault="0034634B">
      <w:pPr>
        <w:rPr>
          <w:noProof/>
        </w:rPr>
      </w:pPr>
      <w:r>
        <w:rPr>
          <w:noProof/>
        </w:rPr>
        <w:t>Οι επανειλημμένες παραβιάσεις των προτύπων ποιότητας του αέρα (για τα PM</w:t>
      </w:r>
      <w:r>
        <w:rPr>
          <w:noProof/>
          <w:vertAlign w:val="subscript"/>
        </w:rPr>
        <w:t>10</w:t>
      </w:r>
      <w:r>
        <w:rPr>
          <w:noProof/>
        </w:rPr>
        <w:t>), οι οποίες έχουν σοβαρές αρνητικές επιπτώσεις στην υγεία και στο περιβάλλον, ελέγχονται από την Ευρωπαϊκή Επιτροπή μέσω διαδικασιών επί παραβάσει σε όλα τα οικεία κράτη μέλη, συμπεριλαμβανομένης της Ελλάδας. Στόχος είναι να διασφαλιστεί η θέσπιση επαρκών μέτρων, ώστε να επιτευχθεί συμμόρφωση όλων των ζωνών.</w:t>
      </w:r>
    </w:p>
    <w:p w:rsidR="00EE1CB7" w:rsidRDefault="0034634B">
      <w:pPr>
        <w:rPr>
          <w:noProof/>
        </w:rPr>
      </w:pPr>
      <w:r>
        <w:rPr>
          <w:noProof/>
        </w:rPr>
        <w:t>Η περιοχή της Δυτικής Μακεδονίας συμμετέχει στην πρωτοβουλία «Coal Regions in Transition» (Περιφέρειες εξόρυξης άνθρακα σε μετάβαση).</w:t>
      </w:r>
    </w:p>
    <w:p w:rsidR="00EE1CB7" w:rsidRDefault="0034634B">
      <w:pPr>
        <w:rPr>
          <w:noProof/>
        </w:rPr>
      </w:pPr>
      <w:r>
        <w:rPr>
          <w:noProof/>
          <w:lang w:bidi="ar-SA"/>
        </w:rPr>
        <w:drawing>
          <wp:inline distT="0" distB="0" distL="0" distR="0">
            <wp:extent cx="2943225" cy="19621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43543" cy="1962362"/>
                    </a:xfrm>
                    <a:prstGeom prst="rect">
                      <a:avLst/>
                    </a:prstGeom>
                    <a:noFill/>
                  </pic:spPr>
                </pic:pic>
              </a:graphicData>
            </a:graphic>
          </wp:inline>
        </w:drawing>
      </w:r>
    </w:p>
    <w:p w:rsidR="00EE1CB7" w:rsidRDefault="0034634B" w:rsidP="0034634B">
      <w:pPr>
        <w:spacing w:after="0"/>
        <w:rPr>
          <w:noProof/>
        </w:rPr>
      </w:pPr>
      <w:r>
        <w:rPr>
          <w:noProof/>
        </w:rPr>
        <w:t>Σύμφωνα με ειδική έκθεση του Ευρωπαϊκού Ελεγκτικού Συνεδρίου</w:t>
      </w:r>
      <w:r>
        <w:rPr>
          <w:rStyle w:val="ae"/>
          <w:rFonts w:ascii="Times New Roman" w:hAnsi="Times New Roman"/>
          <w:noProof/>
        </w:rPr>
        <w:footnoteReference w:id="52"/>
      </w:r>
      <w:r>
        <w:rPr>
          <w:noProof/>
        </w:rPr>
        <w:t xml:space="preserve">, η δράση της ΕΕ για την προστασία της ανθρώπινης υγείας από την ατμοσφαιρική ρύπανση δεν απέδωσε τον αναμενόμενο αντίκτυπο. Σε ορισμένες περιπτώσεις, υπάρχει κίνδυνος υποτίμησης της ατμοσφαιρικής ρύπανσης, διότι ενδέχεται η ατμοσφαιρική ρύπανση να μην παρακολουθείται πάντα στα σωστά σημεία. Τα κράτη μέλη υποχρεούνται πλέον να υποβάλλουν στην Επιτροπή δεδομένα για την </w:t>
      </w:r>
      <w:r>
        <w:rPr>
          <w:noProof/>
        </w:rPr>
        <w:t>ποιότητα του αέρα τόσο σε πραγματικό χρόνο όσο και επικυρωμένα</w:t>
      </w:r>
      <w:r>
        <w:rPr>
          <w:rStyle w:val="ae"/>
          <w:rFonts w:ascii="Times New Roman" w:hAnsi="Times New Roman"/>
          <w:noProof/>
        </w:rPr>
        <w:footnoteReference w:id="53"/>
      </w:r>
      <w:r>
        <w:rPr>
          <w:noProof/>
        </w:rPr>
        <w:t>.</w:t>
      </w:r>
    </w:p>
    <w:p w:rsidR="00EE1CB7" w:rsidRDefault="0034634B">
      <w:pPr>
        <w:widowControl w:val="0"/>
        <w:spacing w:before="240"/>
        <w:rPr>
          <w:rFonts w:eastAsiaTheme="minorEastAsia"/>
          <w:noProof/>
          <w:color w:val="1F497D" w:themeColor="text2"/>
          <w:sz w:val="22"/>
        </w:rPr>
      </w:pPr>
      <w:r>
        <w:rPr>
          <w:rFonts w:eastAsiaTheme="minorEastAsia"/>
          <w:noProof/>
          <w:color w:val="1F497D" w:themeColor="text2"/>
          <w:sz w:val="22"/>
        </w:rPr>
        <w:t>Δράσεις προτεραιότητας για το 2019</w:t>
      </w:r>
    </w:p>
    <w:p w:rsidR="00EE1CB7" w:rsidRDefault="0034634B">
      <w:pPr>
        <w:pStyle w:val="a1"/>
        <w:rPr>
          <w:noProof/>
        </w:rPr>
      </w:pPr>
      <w:r>
        <w:rPr>
          <w:noProof/>
        </w:rPr>
        <w:t>Ανάληψη, στο πλαίσιο του εθνικού προγράμματος ελέγχου της ατμοσφαιρικής ρύπανσης (ΕΠΕΑΡ), δράσεων προς την κατεύθυνση της μείωσης των βασικών πηγών εκπομπών —και εκπλήρωση του συνόλου των προτύπων ποιότητας του αέρα.</w:t>
      </w:r>
    </w:p>
    <w:p w:rsidR="00EE1CB7" w:rsidRDefault="0034634B">
      <w:pPr>
        <w:pStyle w:val="a1"/>
        <w:rPr>
          <w:noProof/>
        </w:rPr>
      </w:pPr>
      <w:r>
        <w:rPr>
          <w:noProof/>
        </w:rPr>
        <w:t>Αναβάθμιση και βελτίωση του δικτύου παρακολούθησης της ποιότητας του αέρα και διασφάλιση της έγκαιρης υποβολής δεδομένων για την ποιότητα του αέρα.</w:t>
      </w:r>
    </w:p>
    <w:p w:rsidR="00EE1CB7" w:rsidRDefault="0034634B">
      <w:pPr>
        <w:pStyle w:val="a1"/>
        <w:rPr>
          <w:noProof/>
        </w:rPr>
      </w:pPr>
      <w:r>
        <w:rPr>
          <w:noProof/>
        </w:rPr>
        <w:t>Επίσπευση της μείωσης των εκπομπών οξειδίων του αζώτου (NO</w:t>
      </w:r>
      <w:r>
        <w:rPr>
          <w:noProof/>
          <w:vertAlign w:val="subscript"/>
        </w:rPr>
        <w:t>x</w:t>
      </w:r>
      <w:r>
        <w:rPr>
          <w:noProof/>
        </w:rPr>
        <w:t>) και των συγκεντρώσεων διοξειδίου του αζώτου (NO</w:t>
      </w:r>
      <w:r>
        <w:rPr>
          <w:noProof/>
          <w:vertAlign w:val="subscript"/>
        </w:rPr>
        <w:t>2</w:t>
      </w:r>
      <w:r>
        <w:rPr>
          <w:noProof/>
        </w:rPr>
        <w:t>). Για αυτό θα χρειαστεί, για παράδειγμα, περαιτέρω μείωση των εκπομπών από τις μεταφορές, ιδίως σε αστικές περιοχές (και ενδέχεται να απαιτηθούν αναλογικοί και στοχευμένοι περιορισμοί στην πρόσβαση των οχημάτων στις πόλεις).</w:t>
      </w:r>
    </w:p>
    <w:p w:rsidR="00EE1CB7" w:rsidRDefault="0034634B">
      <w:pPr>
        <w:pStyle w:val="a1"/>
        <w:rPr>
          <w:noProof/>
        </w:rPr>
      </w:pPr>
      <w:r>
        <w:rPr>
          <w:noProof/>
        </w:rPr>
        <w:t>Επίσπευση της μείωσης των εκπομπών και συγκεντρώσεων αιωρούμενων σωματιδίων (PM</w:t>
      </w:r>
      <w:r>
        <w:rPr>
          <w:noProof/>
          <w:vertAlign w:val="subscript"/>
        </w:rPr>
        <w:t>2,5</w:t>
      </w:r>
      <w:r>
        <w:rPr>
          <w:noProof/>
        </w:rPr>
        <w:t xml:space="preserve"> και PM</w:t>
      </w:r>
      <w:r>
        <w:rPr>
          <w:noProof/>
          <w:vertAlign w:val="subscript"/>
        </w:rPr>
        <w:t>10</w:t>
      </w:r>
      <w:r>
        <w:rPr>
          <w:noProof/>
        </w:rPr>
        <w:t>). Για αυτό θα απαιτηθεί, για παράδειγμα, περαιτέρω μείωση των εκπομπών από την παραγωγή ενέργειας και την παραγωγή θερμότητας με χρήση στερεών καυσίμων ή προαγωγή της αποδοτικής και καθαρής τηλεθέρμανσης.</w:t>
      </w:r>
    </w:p>
    <w:p w:rsidR="00EE1CB7" w:rsidRDefault="0034634B">
      <w:pPr>
        <w:pStyle w:val="a1"/>
        <w:rPr>
          <w:noProof/>
        </w:rPr>
      </w:pPr>
      <w:r>
        <w:rPr>
          <w:noProof/>
        </w:rPr>
        <w:t>Αξιοποίηση της πρωτοβουλίας «Περιφέρειες εξόρυξης άνθρακα σε μετάβαση» για τη μείωση της χρήσης άνθρακα στην οικιακή θέρμανση, με στόχο τον περιορισμό των εκπομπών αέριων ρύπων.</w:t>
      </w:r>
    </w:p>
    <w:p w:rsidR="00EE1CB7" w:rsidRDefault="0034634B">
      <w:pPr>
        <w:pStyle w:val="21"/>
        <w:rPr>
          <w:noProof/>
        </w:rPr>
      </w:pPr>
      <w:bookmarkStart w:id="72" w:name="_Toc508706654"/>
      <w:bookmarkStart w:id="73" w:name="_Toc509391846"/>
      <w:bookmarkStart w:id="74" w:name="_Toc525660379"/>
      <w:bookmarkStart w:id="75" w:name="_Toc546025"/>
      <w:bookmarkStart w:id="76" w:name="_Toc13470668"/>
      <w:bookmarkEnd w:id="69"/>
      <w:bookmarkEnd w:id="70"/>
      <w:r>
        <w:rPr>
          <w:noProof/>
        </w:rPr>
        <w:br w:type="column"/>
      </w:r>
      <w:r>
        <w:rPr>
          <w:noProof/>
        </w:rPr>
        <w:lastRenderedPageBreak/>
        <w:t>Βιομηχανικές εκπομπές</w:t>
      </w:r>
      <w:bookmarkEnd w:id="72"/>
      <w:bookmarkEnd w:id="73"/>
      <w:bookmarkEnd w:id="74"/>
      <w:bookmarkEnd w:id="75"/>
      <w:bookmarkEnd w:id="76"/>
    </w:p>
    <w:p w:rsidR="00EE1CB7" w:rsidRDefault="0034634B">
      <w:pPr>
        <w:widowControl w:val="0"/>
        <w:shd w:val="clear" w:color="auto" w:fill="4F81BD"/>
        <w:suppressAutoHyphens/>
        <w:spacing w:after="0"/>
        <w:rPr>
          <w:rFonts w:eastAsia="Calibri" w:cstheme="minorHAnsi"/>
          <w:noProof/>
          <w:color w:val="FFFFFF"/>
          <w:szCs w:val="20"/>
        </w:rPr>
      </w:pPr>
      <w:bookmarkStart w:id="77" w:name="_Toc509391847"/>
      <w:r>
        <w:rPr>
          <w:rFonts w:cstheme="minorHAnsi"/>
          <w:noProof/>
          <w:color w:val="FFFFFF"/>
        </w:rPr>
        <w:t>Οι βασικοί στόχοι της ενωσιακής πολιτικής για τις βιομηχανικές εκπομπές είναι οι εξής:</w:t>
      </w:r>
    </w:p>
    <w:p w:rsidR="00EE1CB7" w:rsidRDefault="0034634B">
      <w:pPr>
        <w:widowControl w:val="0"/>
        <w:shd w:val="clear" w:color="auto" w:fill="4F81BD"/>
        <w:suppressAutoHyphens/>
        <w:spacing w:after="0"/>
        <w:rPr>
          <w:rFonts w:eastAsia="Calibri" w:cstheme="minorHAnsi"/>
          <w:noProof/>
          <w:color w:val="FFFFFF"/>
          <w:szCs w:val="20"/>
        </w:rPr>
      </w:pPr>
      <w:r>
        <w:rPr>
          <w:rFonts w:cstheme="minorHAnsi"/>
          <w:noProof/>
          <w:color w:val="FFFFFF"/>
        </w:rPr>
        <w:t>i) προστασία του αέρα, του νερού και του εδάφους·</w:t>
      </w:r>
    </w:p>
    <w:p w:rsidR="00EE1CB7" w:rsidRDefault="0034634B">
      <w:pPr>
        <w:widowControl w:val="0"/>
        <w:shd w:val="clear" w:color="auto" w:fill="4F81BD"/>
        <w:suppressAutoHyphens/>
        <w:spacing w:after="0"/>
        <w:rPr>
          <w:rFonts w:eastAsia="Calibri" w:cstheme="minorHAnsi"/>
          <w:noProof/>
          <w:color w:val="FFFFFF"/>
          <w:szCs w:val="20"/>
        </w:rPr>
      </w:pPr>
      <w:r>
        <w:rPr>
          <w:rFonts w:cstheme="minorHAnsi"/>
          <w:noProof/>
          <w:color w:val="FFFFFF"/>
        </w:rPr>
        <w:t>ii) πρόληψη και διαχείριση αποβλήτων·</w:t>
      </w:r>
    </w:p>
    <w:p w:rsidR="00EE1CB7" w:rsidRDefault="0034634B">
      <w:pPr>
        <w:widowControl w:val="0"/>
        <w:shd w:val="clear" w:color="auto" w:fill="4F81BD"/>
        <w:suppressAutoHyphens/>
        <w:spacing w:after="0"/>
        <w:rPr>
          <w:rFonts w:eastAsia="Calibri" w:cstheme="minorHAnsi"/>
          <w:noProof/>
          <w:color w:val="FFFFFF"/>
          <w:szCs w:val="20"/>
        </w:rPr>
      </w:pPr>
      <w:r>
        <w:rPr>
          <w:rFonts w:cstheme="minorHAnsi"/>
          <w:noProof/>
          <w:color w:val="FFFFFF"/>
        </w:rPr>
        <w:t xml:space="preserve">iii) βελτίωση της ενεργειακής απόδοσης και της αποδοτικής χρήσης των πόρων· και </w:t>
      </w:r>
    </w:p>
    <w:p w:rsidR="00EE1CB7" w:rsidRDefault="0034634B">
      <w:pPr>
        <w:widowControl w:val="0"/>
        <w:shd w:val="clear" w:color="auto" w:fill="4F81BD"/>
        <w:suppressAutoHyphens/>
        <w:spacing w:after="0"/>
        <w:rPr>
          <w:rFonts w:eastAsia="Calibri" w:cstheme="minorHAnsi"/>
          <w:noProof/>
          <w:color w:val="FFFFFF"/>
          <w:szCs w:val="20"/>
        </w:rPr>
      </w:pPr>
      <w:r>
        <w:rPr>
          <w:rFonts w:cstheme="minorHAnsi"/>
          <w:noProof/>
          <w:color w:val="FFFFFF"/>
        </w:rPr>
        <w:t xml:space="preserve">iv) καθαρισμός μολυσμένων τοποθεσιών. </w:t>
      </w:r>
    </w:p>
    <w:p w:rsidR="00EE1CB7" w:rsidRDefault="0034634B">
      <w:pPr>
        <w:widowControl w:val="0"/>
        <w:shd w:val="clear" w:color="auto" w:fill="4F81BD"/>
        <w:suppressAutoHyphens/>
        <w:spacing w:after="240"/>
        <w:rPr>
          <w:rFonts w:eastAsia="Calibri" w:cstheme="minorHAnsi"/>
          <w:noProof/>
          <w:color w:val="FFFFFF"/>
          <w:szCs w:val="20"/>
        </w:rPr>
      </w:pPr>
      <w:r>
        <w:rPr>
          <w:rFonts w:cstheme="minorHAnsi"/>
          <w:noProof/>
          <w:color w:val="FFFFFF"/>
        </w:rPr>
        <w:t xml:space="preserve">Για την επίτευξη αυτών των στόχων, η ΕΕ ακολουθεί ολοκληρωμένη προσέγγιση για την πρόληψη και τον έλεγχο των συνήθων και τυχαίων βιομηχανικών εκπομπών. Ο ακρογωνιαίος λίθος της πολιτικής είναι η οδηγία </w:t>
      </w:r>
      <w:r>
        <w:rPr>
          <w:rFonts w:cstheme="minorHAnsi"/>
          <w:noProof/>
          <w:color w:val="F2F2F2" w:themeColor="background1" w:themeShade="F2"/>
        </w:rPr>
        <w:t>περί βιομηχανικών εκπομπών</w:t>
      </w:r>
      <w:r>
        <w:rPr>
          <w:rStyle w:val="ae"/>
          <w:noProof/>
          <w:color w:val="F2F2F2" w:themeColor="background1" w:themeShade="F2"/>
        </w:rPr>
        <w:footnoteReference w:id="54"/>
      </w:r>
      <w:r>
        <w:rPr>
          <w:rFonts w:cstheme="minorHAnsi"/>
          <w:noProof/>
          <w:color w:val="F2F2F2" w:themeColor="background1" w:themeShade="F2"/>
        </w:rPr>
        <w:t>.</w:t>
      </w:r>
    </w:p>
    <w:p w:rsidR="00EE1CB7" w:rsidRDefault="0034634B">
      <w:pPr>
        <w:rPr>
          <w:noProof/>
        </w:rPr>
      </w:pPr>
      <w:r>
        <w:rPr>
          <w:noProof/>
        </w:rPr>
        <w:t>Η κατωτέρω επισκόπηση των βιομηχανικών δραστηριοτήτων που ρυθμίζονται από την οδηγία περί βιομηχανικών εκπομπών βασίζεται στο έργο «προφίλ πολιτικής βιομηχανικών εκπομπών ανά χώρα»</w:t>
      </w:r>
      <w:r>
        <w:rPr>
          <w:rStyle w:val="ae"/>
          <w:noProof/>
        </w:rPr>
        <w:footnoteReference w:id="55"/>
      </w:r>
      <w:r>
        <w:rPr>
          <w:noProof/>
        </w:rPr>
        <w:t>.</w:t>
      </w:r>
    </w:p>
    <w:p w:rsidR="0034634B" w:rsidRDefault="0034634B" w:rsidP="0034634B">
      <w:pPr>
        <w:widowControl w:val="0"/>
        <w:rPr>
          <w:rFonts w:eastAsia="Times New Roman"/>
          <w:b/>
          <w:bCs/>
          <w:noProof/>
          <w:color w:val="1F497D" w:themeColor="text2"/>
        </w:rPr>
      </w:pPr>
      <w:r>
        <w:rPr>
          <w:b/>
          <w:noProof/>
          <w:color w:val="1F497D" w:themeColor="text2"/>
        </w:rPr>
        <w:t>Διάγραμμα 15: Αριθμός βιομηχανικών εγκαταστάσεων βάσει της οδηγίας περί βιομηχανικών εκπομπών, ανά τομέα, Ελλάδα (2015)</w:t>
      </w:r>
      <w:r>
        <w:rPr>
          <w:rStyle w:val="ae"/>
          <w:b/>
          <w:noProof/>
          <w:color w:val="1F497D" w:themeColor="text2"/>
        </w:rPr>
        <w:footnoteReference w:id="56"/>
      </w:r>
    </w:p>
    <w:p w:rsidR="0034634B" w:rsidRDefault="0034634B" w:rsidP="0034634B">
      <w:pPr>
        <w:jc w:val="center"/>
        <w:rPr>
          <w:noProof/>
        </w:rPr>
      </w:pPr>
      <w:r>
        <w:rPr>
          <w:noProof/>
          <w:lang w:bidi="ar-SA"/>
        </w:rPr>
        <w:drawing>
          <wp:inline distT="0" distB="0" distL="0" distR="0" wp14:anchorId="67B36E7C" wp14:editId="69A28A93">
            <wp:extent cx="2667000" cy="1917031"/>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671186" cy="1920040"/>
                    </a:xfrm>
                    <a:prstGeom prst="rect">
                      <a:avLst/>
                    </a:prstGeom>
                    <a:noFill/>
                    <a:ln>
                      <a:noFill/>
                    </a:ln>
                  </pic:spPr>
                </pic:pic>
              </a:graphicData>
            </a:graphic>
          </wp:inline>
        </w:drawing>
      </w:r>
    </w:p>
    <w:p w:rsidR="00EE1CB7" w:rsidRDefault="0034634B">
      <w:pPr>
        <w:widowControl w:val="0"/>
        <w:rPr>
          <w:rFonts w:eastAsia="Times New Roman" w:cs="Times New Roman"/>
          <w:noProof/>
        </w:rPr>
      </w:pPr>
      <w:r>
        <w:rPr>
          <w:noProof/>
        </w:rPr>
        <w:t xml:space="preserve">Στην Ελλάδα, σύμφωνα με την οδηγία περί βιομηχανικών εκπομπών, πρέπει να διαθέτουν άδεια περίπου 370 βιομηχανικές εγκαταστάσεις. Το 2015 οι βιομηχανικοί τομείς στην Ελλάδα με τις περισσότερες εγκαταστάσεις που εμπίπτουν στην οδηγία περί βιομηχανικών εκπομπών ήταν οι «άλλες δραστηριότητες» (39 % —κυρίως η εντατική εκτροφή </w:t>
      </w:r>
      <w:r>
        <w:rPr>
          <w:noProof/>
        </w:rPr>
        <w:t>πουλερικών ή χοίρων, η παραγωγή τροφίμων και ποτών και η επιφανειακή επεξεργασία), η διαχείριση μη επικίνδυνων αποβλήτων (18 %) και τα ορυκτά προϊόντα (16 %).</w:t>
      </w:r>
    </w:p>
    <w:p w:rsidR="00EE1CB7" w:rsidRDefault="0034634B">
      <w:pPr>
        <w:rPr>
          <w:noProof/>
        </w:rPr>
      </w:pPr>
      <w:r>
        <w:rPr>
          <w:noProof/>
        </w:rPr>
        <w:t>Οι βιομηχανικοί τομείς που είναι γνωστό ότι αποτελούν τους πλέον επιβλαβείς για το περιβάλλον στην Ελλάδα όσον αφορά τις εκπομπές στην ατμόσφαιρα είναι οι εξής: i) «ενέργεια-ισχύς» για όλους τους ρύπους εκτός της αμμωνίας (NH3) και των πτητικών οργανικών ενώσεων εκτός του μεθανίου (NMVOC)· ii) «ενέργεια-διύλιση» για τις εκπομπές NMVOC, νικελίου (Ni) και ψευδαργύρου (Zn)· iii) «ορυκτά προϊόντα» για την αμμωνία (NH3) και τον υδράργυρο (Hg)· και iv) «μη σιδηρούχα μέταλλα» για το χρώμιο (Cr), τον μόλυβδο (Pb) και το νικέλιο (Ni). Για τις εκπομπές στην κατηγορία «άλλες δραστηριότητες» υπάρχει έλλειψη δεδομένων. Η ανάλυση ανά ρύπο, που υποβλήθηκε από την Ελλάδα στο ευρωπαϊκό μητρώο έκλυσης και μεταφοράς ρύπων (E-PRTR)</w:t>
      </w:r>
      <w:r>
        <w:rPr>
          <w:rStyle w:val="ae"/>
          <w:noProof/>
        </w:rPr>
        <w:footnoteReference w:id="57"/>
      </w:r>
      <w:r>
        <w:rPr>
          <w:noProof/>
        </w:rPr>
        <w:t xml:space="preserve"> το 2015, παρατίθεται παρακάτω.</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EE1CB7">
        <w:tc>
          <w:tcPr>
            <w:tcW w:w="4909" w:type="dxa"/>
          </w:tcPr>
          <w:p w:rsidR="00EE1CB7" w:rsidRDefault="0034634B">
            <w:pPr>
              <w:rPr>
                <w:b/>
                <w:bCs/>
                <w:noProof/>
                <w:color w:val="1F497D" w:themeColor="text2"/>
              </w:rPr>
            </w:pPr>
            <w:r>
              <w:rPr>
                <w:b/>
                <w:noProof/>
                <w:color w:val="1F497D" w:themeColor="text2"/>
              </w:rPr>
              <w:t>Διάγραμμα 16: Εκπομπές στην ατμόσφαιρα από τομείς βάσει της οδηγίας περί βιομηχανικών εκπομπών και όλες οι λοιπές εκπομπές στην ατμόσφαιρα, Ελλάδα (2015)</w:t>
            </w:r>
          </w:p>
        </w:tc>
      </w:tr>
      <w:tr w:rsidR="00EE1CB7">
        <w:tc>
          <w:tcPr>
            <w:tcW w:w="4909" w:type="dxa"/>
          </w:tcPr>
          <w:p w:rsidR="00EE1CB7" w:rsidRDefault="0034634B">
            <w:pPr>
              <w:rPr>
                <w:b/>
                <w:bCs/>
                <w:noProof/>
                <w:color w:val="1F497D" w:themeColor="text2"/>
              </w:rPr>
            </w:pPr>
            <w:r>
              <w:rPr>
                <w:b/>
                <w:bCs/>
                <w:noProof/>
                <w:color w:val="1F497D" w:themeColor="text2"/>
                <w:lang w:bidi="ar-SA"/>
              </w:rPr>
              <w:drawing>
                <wp:inline distT="0" distB="0" distL="0" distR="0">
                  <wp:extent cx="2978785" cy="1295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978785" cy="1295400"/>
                          </a:xfrm>
                          <a:prstGeom prst="rect">
                            <a:avLst/>
                          </a:prstGeom>
                          <a:noFill/>
                          <a:ln>
                            <a:noFill/>
                          </a:ln>
                        </pic:spPr>
                      </pic:pic>
                    </a:graphicData>
                  </a:graphic>
                </wp:inline>
              </w:drawing>
            </w:r>
          </w:p>
        </w:tc>
      </w:tr>
    </w:tbl>
    <w:p w:rsidR="00EE1CB7" w:rsidRDefault="0034634B">
      <w:pPr>
        <w:rPr>
          <w:noProof/>
        </w:rPr>
      </w:pPr>
      <w:r>
        <w:rPr>
          <w:noProof/>
        </w:rPr>
        <w:t xml:space="preserve">Όσον αφορά τις εκπομπές στα ύδατα, η ενέργεια-ισχύς, η ενέργεια-διύλιση, τα χημικά και τα μέταλλα προσδιορίστηκαν ως οι πλέον ρυπογόνοι τομείς. Ο τομέας των μετάλλων ήταν ο τομέας με τη μεγαλύτερη παραγωγή επικίνδυνων αποβλήτων, ενώ ο τομέας ενέργειας-ισχύος ήταν ο τομέας με τη μεγαλύτερη παραγωγή μη επικίνδυνων αποβλήτων. </w:t>
      </w:r>
    </w:p>
    <w:p w:rsidR="00EE1CB7" w:rsidRDefault="0034634B">
      <w:pPr>
        <w:rPr>
          <w:noProof/>
        </w:rPr>
      </w:pPr>
      <w:r>
        <w:rPr>
          <w:noProof/>
        </w:rPr>
        <w:t xml:space="preserve">Η προσέγγιση επιβολής της νομοθεσίας δυνάμει της οδηγίας περί βιομηχανικών εκπομπών δημιουργεί ισχυρά δικαιώματα πρόσβασης των πολιτών στις σχετικές πληροφορίες και συμμετοχής στη διαδικασία αδειοδότησης για εγκαταστάσεις βάσει της οδηγίας περί βιομηχανικών εκπομπών. Αυτό δίνει τη δυνατότητα σε ΜΚΟ και στο ευρύ κοινό να διασφαλίζουν ότι οι άδειες χορηγούνται κατάλληλα και τηρούνται οι όροι τους. </w:t>
      </w:r>
    </w:p>
    <w:p w:rsidR="00EE1CB7" w:rsidRDefault="0034634B">
      <w:pPr>
        <w:rPr>
          <w:noProof/>
        </w:rPr>
      </w:pPr>
      <w:r>
        <w:rPr>
          <w:noProof/>
        </w:rPr>
        <w:t xml:space="preserve">Τα έγγραφα αναφοράς βέλτιστων διαθέσιμων τεχνικών (ΒΔΤ) και τα συμπεράσματα ΒΔΤ καταρτίζονται μέσω </w:t>
      </w:r>
      <w:r>
        <w:rPr>
          <w:noProof/>
        </w:rPr>
        <w:lastRenderedPageBreak/>
        <w:t>ανταλλαγής πληροφοριών μεταξύ των κρατών μελών, βιομηχανικών ενώσεων, ΜΚΟ και της Επιτροπής. Έτσι διασφαλίζεται καλή συνεργασία με τα ενδιαφερόμενα μέρη και ορθότερη εφαρμογή των κανόνων της οδηγίας περί βιομηχανικών εκπομπών.</w:t>
      </w:r>
    </w:p>
    <w:p w:rsidR="00EE1CB7" w:rsidRDefault="0034634B">
      <w:pPr>
        <w:rPr>
          <w:noProof/>
        </w:rPr>
      </w:pPr>
      <w:r>
        <w:rPr>
          <w:noProof/>
        </w:rPr>
        <w:t>Χάρη στις προσπάθειες των εθνικών αρμόδιων αρχών για την εφαρμογή των νομικά δεσμευτικών συμπερασμάτων ΒΔΤ και των σχετιζόμενων επιπέδων εκπομπών ΒΔΤ στις περιβαλλοντικές άδειες, η ρύπανση έχει μειωθεί σημαντικά και εξακολουθεί να μειώνεται διαρκώς στην ΕΕ.</w:t>
      </w:r>
    </w:p>
    <w:p w:rsidR="00EE1CB7" w:rsidRDefault="0034634B">
      <w:pPr>
        <w:rPr>
          <w:noProof/>
        </w:rPr>
      </w:pPr>
      <w:r>
        <w:rPr>
          <w:noProof/>
        </w:rPr>
        <w:t>Για παράδειγμα, με την εφαρμογή των προσφάτως εγκριθέντων επιπέδων εκπομπών ΒΔΤ για μεγάλες μονάδες καύσης, οι εκπομπές διοξειδίου του θείου θα περιοριστούν κατά μέσο όρο κατά 25 % έως 81 %, οι εκπομπές οξειδίων του αζώτου κατά 8 % έως 56 %, οι εκπομπές σκόνης κατά 31 % έως 78 % και οι εκπομπές υδραργύρου κατά 19 % έως 71 % σε επίπεδο ΕΕ. Ο βαθμός μείωσης εξαρτάται από την κατάσταση στις επιμέρους μονάδες.</w:t>
      </w:r>
    </w:p>
    <w:p w:rsidR="00EE1CB7" w:rsidRDefault="0034634B">
      <w:pPr>
        <w:rPr>
          <w:noProof/>
        </w:rPr>
      </w:pPr>
      <w:r>
        <w:rPr>
          <w:noProof/>
        </w:rPr>
        <w:t>Οι βασικές προκλήσεις για τους βιομηχανικούς τομείς βάσει της οδηγίας περί βιομηχανικών εκπομπών, οι οποίες προσδιορίστηκαν και συζητήθηκαν με τις αρμόδιες αρχές, είναι οι εξής: i) μείωση των εκπομπών σε λίαν ρυπογόνες εγκαταστάσεις του τομέα της ενέργειας-ισχύος, συμπεριλαμβανομένων των λιγνιτικών μονάδων ηλεκτροπαραγωγής στον Άγιο Δημήτριο και την Καρδιά· και ii) αντιμετώπιση παράνομων χώρων υγειονομικής ταφής στον τομέα διαχείρισης των αποβλήτων.</w:t>
      </w:r>
    </w:p>
    <w:p w:rsidR="00EE1CB7" w:rsidRDefault="0034634B">
      <w:pPr>
        <w:rPr>
          <w:rFonts w:eastAsiaTheme="minorEastAsia"/>
          <w:noProof/>
          <w:color w:val="1F497D" w:themeColor="text2"/>
          <w:sz w:val="22"/>
        </w:rPr>
      </w:pPr>
      <w:r>
        <w:rPr>
          <w:rFonts w:eastAsiaTheme="minorEastAsia"/>
          <w:noProof/>
          <w:color w:val="1F497D" w:themeColor="text2"/>
          <w:sz w:val="22"/>
        </w:rPr>
        <w:t>Δράσεις προτεραιότητας για το 2019</w:t>
      </w:r>
    </w:p>
    <w:p w:rsidR="00EE1CB7" w:rsidRDefault="0034634B">
      <w:pPr>
        <w:pStyle w:val="SuggActions"/>
      </w:pPr>
      <w:r>
        <w:t>Επανεξέταση των αδειών, ώστε να διασφαλίζεται η συμμόρφωσή τους με τα νεοεκδοθέντα συμπεράσματα ΒΔΤ.</w:t>
      </w:r>
    </w:p>
    <w:p w:rsidR="00EE1CB7" w:rsidRDefault="0034634B">
      <w:pPr>
        <w:pStyle w:val="SuggActions"/>
      </w:pPr>
      <w:r>
        <w:t>Ενίσχυση του ελέγχου και της επιβολής της νομοθεσίας, ώστε να διασφαλίζεται η συμμόρφωση με τα συμπεράσματα ΒΔΤ.</w:t>
      </w:r>
    </w:p>
    <w:p w:rsidR="00EE1CB7" w:rsidRDefault="0034634B">
      <w:pPr>
        <w:pStyle w:val="SuggActions"/>
      </w:pPr>
      <w:r>
        <w:t>Αντιμετώπιση της ρύπανσης σε εγκαταστάσεις του τομέα ηλεκτροπαραγωγής, ιδίως στις λιγνιτικές μονάδες ηλεκτροπαραγωγής στον Άγιο Δημήτριο, την Καρδιά και το Αμύνταιο.</w:t>
      </w:r>
    </w:p>
    <w:p w:rsidR="00EE1CB7" w:rsidRDefault="0034634B">
      <w:pPr>
        <w:pStyle w:val="21"/>
        <w:rPr>
          <w:noProof/>
        </w:rPr>
      </w:pPr>
      <w:bookmarkStart w:id="78" w:name="_Toc525660380"/>
      <w:bookmarkStart w:id="79" w:name="_Toc546026"/>
      <w:bookmarkStart w:id="80" w:name="_Toc13470669"/>
      <w:r>
        <w:rPr>
          <w:noProof/>
        </w:rPr>
        <w:t>Θόρυβος</w:t>
      </w:r>
      <w:bookmarkEnd w:id="77"/>
      <w:bookmarkEnd w:id="78"/>
      <w:bookmarkEnd w:id="79"/>
      <w:bookmarkEnd w:id="80"/>
    </w:p>
    <w:p w:rsidR="00EE1CB7" w:rsidRDefault="0034634B">
      <w:pPr>
        <w:widowControl w:val="0"/>
        <w:shd w:val="clear" w:color="auto" w:fill="4F81BD" w:themeFill="accent1"/>
        <w:spacing w:after="240"/>
        <w:rPr>
          <w:rFonts w:cstheme="minorHAnsi"/>
          <w:noProof/>
          <w:color w:val="FFFFFF" w:themeColor="background1"/>
        </w:rPr>
      </w:pPr>
      <w:r>
        <w:rPr>
          <w:rFonts w:cstheme="minorHAnsi"/>
          <w:noProof/>
          <w:color w:val="FFFFFF" w:themeColor="background1"/>
        </w:rPr>
        <w:t>Στην οδηγία για τον περιβαλλοντικό θόρυβο</w:t>
      </w:r>
      <w:r>
        <w:rPr>
          <w:rStyle w:val="ae"/>
          <w:rFonts w:cstheme="minorHAnsi"/>
          <w:noProof/>
          <w:color w:val="FFFFFF" w:themeColor="background1"/>
        </w:rPr>
        <w:footnoteReference w:id="58"/>
      </w:r>
      <w:r>
        <w:rPr>
          <w:rFonts w:cstheme="minorHAnsi"/>
          <w:noProof/>
          <w:color w:val="FFFFFF" w:themeColor="background1"/>
        </w:rPr>
        <w:t xml:space="preserve"> προβλέπεται κοινή προσέγγιση για την αποφυγή, την πρόληψη ή τον περιορισμό των δυσμενών επιπτώσεων από έκθεση στον περιβάλλοντα θόρυβο.</w:t>
      </w:r>
    </w:p>
    <w:p w:rsidR="00EE1CB7" w:rsidRDefault="0034634B">
      <w:pPr>
        <w:rPr>
          <w:rFonts w:ascii="Calibri" w:eastAsia="Calibri" w:hAnsi="Calibri" w:cs="Times New Roman"/>
          <w:noProof/>
        </w:rPr>
      </w:pPr>
      <w:r>
        <w:rPr>
          <w:rFonts w:ascii="Calibri" w:hAnsi="Calibri"/>
          <w:noProof/>
        </w:rPr>
        <w:t xml:space="preserve">Ο υπερβολικός θόρυβος από αεροσκάφη, σιδηροδρόμους και οδικά δίκτυα αποτελεί ένα από τα </w:t>
      </w:r>
      <w:r>
        <w:rPr>
          <w:rFonts w:ascii="Calibri" w:hAnsi="Calibri"/>
          <w:noProof/>
        </w:rPr>
        <w:t>κύρια αίτια ζητημάτων υγείας που σχετίζονται με το περιβάλλον στην ΕΕ</w:t>
      </w:r>
      <w:r>
        <w:rPr>
          <w:rFonts w:ascii="Calibri" w:hAnsi="Calibri"/>
          <w:noProof/>
          <w:vertAlign w:val="superscript"/>
        </w:rPr>
        <w:footnoteReference w:id="59"/>
      </w:r>
      <w:r>
        <w:rPr>
          <w:rFonts w:ascii="Calibri" w:hAnsi="Calibri"/>
          <w:noProof/>
        </w:rPr>
        <w:t>.</w:t>
      </w:r>
    </w:p>
    <w:p w:rsidR="00EE1CB7" w:rsidRDefault="0034634B">
      <w:pPr>
        <w:rPr>
          <w:noProof/>
        </w:rPr>
      </w:pPr>
      <w:r>
        <w:rPr>
          <w:noProof/>
        </w:rPr>
        <w:t>Η εφαρμογή της οδηγίας για τον περιβαλλοντικό θόρυβο έχει καθυστερήσει σημαντικά στην Ελλάδα, με βάση περιορισμένο σύνολο δεδομένων</w:t>
      </w:r>
      <w:r>
        <w:rPr>
          <w:rStyle w:val="ae"/>
          <w:noProof/>
        </w:rPr>
        <w:footnoteReference w:id="60"/>
      </w:r>
      <w:r>
        <w:rPr>
          <w:noProof/>
        </w:rPr>
        <w:t>. Η χαρτογράφηση του θορύβου για όλους τους οικισμούς (ήτοι, πληθυσμιακά κέντρα ή τόποι οικονομικής δραστηριότητας), τους μεγάλους οδικούς άξονες και το μεγαλύτερο αεροδρόμιο δεν έχει ολοκληρωθεί ακόμη, όπως δεν έχουν ολοκληρωθεί και τα σχέδια δράσης για τη διαχείριση του θορύβου.</w:t>
      </w:r>
    </w:p>
    <w:p w:rsidR="00EE1CB7" w:rsidRDefault="0034634B">
      <w:pPr>
        <w:rPr>
          <w:noProof/>
        </w:rPr>
      </w:pPr>
      <w:r>
        <w:rPr>
          <w:noProof/>
        </w:rPr>
        <w:t xml:space="preserve">Αυτές οι πράξεις, που εγκρίνονται κατόπιν διεξαγωγής δημόσιας διαβούλευσης, θα πρέπει να περιλαμβάνουν τα μέτρα για τη διατήρηση χαμηλών επιπέδων θορύβου ή για τη μείωσή του. </w:t>
      </w:r>
    </w:p>
    <w:p w:rsidR="00EE1CB7" w:rsidRDefault="0034634B">
      <w:pPr>
        <w:rPr>
          <w:rFonts w:eastAsiaTheme="minorEastAsia" w:cstheme="minorEastAsia"/>
          <w:noProof/>
          <w:color w:val="1F497D" w:themeColor="text2"/>
          <w:sz w:val="22"/>
        </w:rPr>
      </w:pPr>
      <w:r>
        <w:rPr>
          <w:rFonts w:eastAsiaTheme="minorEastAsia" w:cstheme="minorEastAsia"/>
          <w:noProof/>
          <w:color w:val="1F497D" w:themeColor="text2"/>
          <w:sz w:val="22"/>
        </w:rPr>
        <w:t>Δράσεις προτεραιότητας για το 2019</w:t>
      </w:r>
    </w:p>
    <w:p w:rsidR="00EE1CB7" w:rsidRDefault="0034634B">
      <w:pPr>
        <w:pStyle w:val="SuggActions"/>
      </w:pPr>
      <w:r>
        <w:t>Ολοκλήρωση της χαρτογράφησης του θορύβου και των σχεδίων δράσης για τη διαχείριση του θορύβου.</w:t>
      </w:r>
    </w:p>
    <w:p w:rsidR="00EE1CB7" w:rsidRDefault="0034634B">
      <w:pPr>
        <w:pStyle w:val="SuggActions"/>
      </w:pPr>
      <w:r>
        <w:t>Ολοκλήρωση ελλιπών χαρτών θορύβου.</w:t>
      </w:r>
    </w:p>
    <w:p w:rsidR="00EE1CB7" w:rsidRDefault="0034634B">
      <w:pPr>
        <w:pStyle w:val="21"/>
        <w:rPr>
          <w:noProof/>
        </w:rPr>
      </w:pPr>
      <w:bookmarkStart w:id="81" w:name="_Toc454813117"/>
      <w:bookmarkStart w:id="82" w:name="_Toc509391848"/>
      <w:bookmarkStart w:id="83" w:name="_Toc525660381"/>
      <w:bookmarkStart w:id="84" w:name="_Toc546027"/>
      <w:bookmarkStart w:id="85" w:name="_Toc13470670"/>
      <w:bookmarkEnd w:id="71"/>
      <w:r>
        <w:rPr>
          <w:noProof/>
        </w:rPr>
        <w:t>Ποιότητα και διαχείριση των υδάτων</w:t>
      </w:r>
      <w:bookmarkEnd w:id="81"/>
      <w:bookmarkEnd w:id="82"/>
      <w:bookmarkEnd w:id="83"/>
      <w:bookmarkEnd w:id="84"/>
      <w:bookmarkEnd w:id="85"/>
    </w:p>
    <w:p w:rsidR="00EE1CB7" w:rsidRDefault="0034634B">
      <w:pPr>
        <w:widowControl w:val="0"/>
        <w:shd w:val="clear" w:color="auto" w:fill="4F81BD" w:themeFill="accent1"/>
        <w:spacing w:after="240"/>
        <w:rPr>
          <w:rFonts w:cstheme="minorHAnsi"/>
          <w:noProof/>
          <w:color w:val="FFFFFF" w:themeColor="background1"/>
          <w:szCs w:val="20"/>
        </w:rPr>
      </w:pPr>
      <w:r>
        <w:rPr>
          <w:rFonts w:cstheme="minorHAnsi"/>
          <w:noProof/>
          <w:color w:val="FFFFFF" w:themeColor="background1"/>
        </w:rPr>
        <w:t>Η νομοθεσία και η πολιτική της ΕΕ ορίζουν ότι πρέπει να αμβλυνθούν σημαντικά οι επιπτώσεις των πιέσεων που δέχονται τα μεταβατικά, τα παράκτια και τα γλυκά ύδατα (συμπεριλαμβανομένων των επιφανειακών και των υπόγειων υδάτων). Η επίτευξη, διατήρηση και βελτίωση της καλής κατάστασης των υδατικών συστημάτων, όπως ορίζεται στην οδηγία-πλαίσιο για τα ύδατα, θα διασφαλίσουν ότι οι πολίτες της ΕΕ επωφελούνται από καλής ποιότητας και ασφαλές πόσιμο νερό και από καλής ποιότητας και ασφαλή ύδατα κολύμβησης. Επίσης, θα διασφαλίσουν ότι η διαχείριση του κύκλου των θρεπτικών στοιχείων (άζωτο και φωσφόρος) πραγματοποιείται με πιο βιώσιμο και αποδοτικό ως προς τους πόρους τρόπο.</w:t>
      </w:r>
    </w:p>
    <w:p w:rsidR="00EE1CB7" w:rsidRDefault="0034634B">
      <w:pPr>
        <w:rPr>
          <w:noProof/>
          <w:color w:val="000000" w:themeColor="text1"/>
        </w:rPr>
      </w:pPr>
      <w:r>
        <w:rPr>
          <w:noProof/>
        </w:rPr>
        <w:t>Η υφιστάμενη ενωσιακή νομοθεσία για τα ύδατα</w:t>
      </w:r>
      <w:r>
        <w:rPr>
          <w:noProof/>
          <w:vertAlign w:val="superscript"/>
        </w:rPr>
        <w:footnoteReference w:id="61"/>
      </w:r>
      <w:r>
        <w:rPr>
          <w:noProof/>
        </w:rPr>
        <w:t xml:space="preserve"> θεσπίζει ένα πλαίσιο προστασίας, ώστε να διασφαλίζονται υψηλά πρότυπα για όλα τα υδατικά </w:t>
      </w:r>
      <w:r>
        <w:rPr>
          <w:noProof/>
        </w:rPr>
        <w:lastRenderedPageBreak/>
        <w:t>συστήματα στην ΕΕ και εξετάζει συγκεκριμένες πηγές ρύπανσης (για παράδειγμα, από τη γεωργία, τις αστικές περιοχές και τις βιομηχανικές δραστηριότητες). Επίσης, βάσει της εν λόγω νομοθεσίας, απαιτείται ενσωμάτωση των προβλεπόμενων επιπτώσεων της κλιματικής αλλαγής στα αντίστοιχα μέσα σχεδιασμού, π.χ. σχέδια διαχείρισης των κινδύνων πλημμύρας και σχέδια διαχείρισης των λεκανών απορροής ποταμού, συμπεριλαμβανομένου προγράμματος μέτρων που περιέχει τις δράσεις που σχεδιάζουν να πραγματοποιήσουν τα κράτη μέλη για την επίτευξη των περιβαλλοντικών στόχων.</w:t>
      </w:r>
    </w:p>
    <w:p w:rsidR="00EE1CB7" w:rsidRDefault="0034634B">
      <w:pPr>
        <w:rPr>
          <w:rFonts w:cstheme="minorHAnsi"/>
          <w:b/>
          <w:bCs/>
          <w:noProof/>
          <w:color w:val="1F497D"/>
        </w:rPr>
      </w:pPr>
      <w:r>
        <w:rPr>
          <w:rFonts w:cstheme="minorHAnsi"/>
          <w:b/>
          <w:noProof/>
          <w:color w:val="1F497D"/>
        </w:rPr>
        <w:t>Οδηγία-πλαίσιο για τα ύδατα</w:t>
      </w:r>
    </w:p>
    <w:p w:rsidR="00EE1CB7" w:rsidRDefault="0034634B">
      <w:pPr>
        <w:rPr>
          <w:noProof/>
        </w:rPr>
      </w:pPr>
      <w:r>
        <w:rPr>
          <w:noProof/>
        </w:rPr>
        <w:t>Η Ελλάδα ενέκρινε και υπέβαλε τη δεύτερη γενιά σχεδίων διαχείρισης των λεκανών απορροής ποταμού δυνάμει της οδηγίας-πλαισίου για τα ύδατα, ωστόσο με μακρά καθυστέρηση. Ως εκ τούτου, η Ευρωπαϊκή Επιτροπή δεν έχει διενεργήσει ακόμη αξιολόγηση και δεν ήταν σε θέση να αξιολογήσει την κατάσταση και την πρόοδο από την πρώτη έκθεση για την ΕΕΠΠ.</w:t>
      </w:r>
    </w:p>
    <w:p w:rsidR="00EE1CB7" w:rsidRDefault="0034634B">
      <w:pPr>
        <w:rPr>
          <w:rFonts w:cstheme="minorHAnsi"/>
          <w:b/>
          <w:bCs/>
          <w:noProof/>
          <w:color w:val="1F497D"/>
        </w:rPr>
      </w:pPr>
      <w:r>
        <w:rPr>
          <w:rFonts w:cstheme="minorHAnsi"/>
          <w:b/>
          <w:noProof/>
          <w:color w:val="1F497D"/>
        </w:rPr>
        <w:t>Οδηγία για τη νιτρορύπανση</w:t>
      </w:r>
    </w:p>
    <w:p w:rsidR="00EE1CB7" w:rsidRDefault="0034634B">
      <w:pPr>
        <w:rPr>
          <w:noProof/>
          <w:bdr w:val="nil"/>
        </w:rPr>
      </w:pPr>
      <w:r>
        <w:rPr>
          <w:noProof/>
        </w:rPr>
        <w:t>Μετά τη μεταφορά της οδηγίας 91/676/ΕΟΚ «για την προστασία των υδάτων από τη νιτρορρύπανση γεωργικής προέλευσης» (ΚΥΑ 16190/1335/1997) στο ελληνικό δίκαιο, 30 περιοχές χαρακτηρίστηκαν ως ευπρόσβλητες από νιτρορύπανση γεωργικής προέλευσης ζώνες. Για 7 από τις εν λόγω ευπρόσβλητες ζώνες (θεσσαλική πεδιάδα, πεδιάδα της Κωπαΐδας, πεδιάδα της Αργολίδας, λεκάνη απορροής του ποταμού Πηνειού στην Ηλεία, λεκάνη απορροής του ποταμού Στρυμόνα, πεδιάδες Θεσσαλονίκης-Πέλλας, Ημαθίας, πεδιάδα Άρτας-Πρέβεζας), θεσπίζονται και υλοποιούνται σχέδια δράσης σύμφωνα με τις διατάξεις της οδηγίας, με στόχο την αποτροπή της παραβλεφθείσας υποβάθμισης των υδάτων στις εν λόγω περιοχές. Για την επικαιροποίηση των υφιστάμενων και την ανάπτυξη νέων σχεδίων δράσης για το σύνολο των ευπρόσβλητων στη νιτρορύπανση ζωνών, καθώς και προκειμένου να διασφαλίζεται η συμμόρφωση με την οδηγία και με την απόφαση του Δικαστηρίου στην υπόθεση C-149/14, δρομολογήθηκε σχετικό έργο τον Απρίλιο του 2017, στο πλαίσιο του Προγράμματος Αγροτικής Ανάπτυξης 2014-2020, και βρίσκεται επί του παρόντος στο τελικό στάδιο εκπόνησης.</w:t>
      </w:r>
    </w:p>
    <w:p w:rsidR="00EE1CB7" w:rsidRDefault="0034634B">
      <w:pPr>
        <w:rPr>
          <w:rFonts w:cstheme="minorHAnsi"/>
          <w:b/>
          <w:bCs/>
          <w:noProof/>
          <w:color w:val="1F497D"/>
        </w:rPr>
      </w:pPr>
      <w:r>
        <w:rPr>
          <w:rFonts w:cstheme="minorHAnsi"/>
          <w:b/>
          <w:noProof/>
          <w:color w:val="1F497D"/>
        </w:rPr>
        <w:t>Οδηγία για τα ύδατα κολύμβησης</w:t>
      </w:r>
    </w:p>
    <w:p w:rsidR="00EE1CB7" w:rsidRDefault="0034634B">
      <w:pPr>
        <w:rPr>
          <w:rFonts w:ascii="Times New Roman" w:eastAsia="Times New Roman" w:hAnsi="Times New Roman" w:cs="Times New Roman"/>
          <w:i/>
          <w:iCs/>
          <w:noProof/>
        </w:rPr>
      </w:pPr>
      <w:r>
        <w:rPr>
          <w:noProof/>
        </w:rPr>
        <w:t xml:space="preserve">Το 2017 από τα 1 598 ύδατα κολύμβησης της Ελλάδας, το 95,9 % ήταν εξαιρετικής ποιότητας, το 0,7 % καλής ποιότητας και το 0,1 % επαρκούς ποιότητας (σε σύγκριση με 97,0 %, 0,6 % και 0,1 % αντίστοιχα το 2016) (βλ. διάγραμμα 18). Επιπλέον, δεν υπήρχαν ύδατα </w:t>
      </w:r>
      <w:r>
        <w:rPr>
          <w:noProof/>
        </w:rPr>
        <w:t>κολύμβησης ανεπαρκούς ποιότητας</w:t>
      </w:r>
      <w:r>
        <w:rPr>
          <w:rStyle w:val="ae"/>
          <w:noProof/>
        </w:rPr>
        <w:footnoteReference w:id="62"/>
      </w:r>
      <w:r>
        <w:rPr>
          <w:noProof/>
        </w:rPr>
        <w:t>. Αναλυτικές πληροφορίες για τα ύδατα κολύμβησης της Ελλάδας διατίθενται σε εθνική διαδικτυακή πύλη</w:t>
      </w:r>
      <w:r>
        <w:rPr>
          <w:rStyle w:val="ae"/>
          <w:noProof/>
        </w:rPr>
        <w:footnoteReference w:id="63"/>
      </w:r>
      <w:r>
        <w:rPr>
          <w:noProof/>
        </w:rPr>
        <w:t xml:space="preserve"> και σε διαδραστικό χάρτη που σχεδιάστηκε και φιλοξενείται από τον Ευρωπαϊκό Οργανισμό Περιβάλλοντος</w:t>
      </w:r>
      <w:r>
        <w:rPr>
          <w:rStyle w:val="ae"/>
          <w:noProof/>
        </w:rPr>
        <w:footnoteReference w:id="64"/>
      </w:r>
      <w:r>
        <w:rPr>
          <w:noProof/>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EE1CB7">
        <w:tc>
          <w:tcPr>
            <w:tcW w:w="4909" w:type="dxa"/>
          </w:tcPr>
          <w:p w:rsidR="00EE1CB7" w:rsidRDefault="0034634B">
            <w:pPr>
              <w:widowControl w:val="0"/>
              <w:rPr>
                <w:rFonts w:ascii="Times New Roman" w:eastAsia="Times New Roman" w:hAnsi="Times New Roman" w:cs="Times New Roman"/>
                <w:b/>
                <w:bCs/>
                <w:i/>
                <w:iCs/>
                <w:noProof/>
                <w:color w:val="1F497D" w:themeColor="text2"/>
              </w:rPr>
            </w:pPr>
            <w:r>
              <w:rPr>
                <w:rFonts w:eastAsiaTheme="minorEastAsia"/>
                <w:b/>
                <w:noProof/>
                <w:color w:val="1F497D" w:themeColor="text2"/>
              </w:rPr>
              <w:t>Διάγραμμα 17: Ποιότητα υδάτων κολύμβησης 2014–2017</w:t>
            </w:r>
            <w:r>
              <w:rPr>
                <w:rStyle w:val="ae"/>
                <w:noProof/>
              </w:rPr>
              <w:footnoteReference w:id="65"/>
            </w:r>
          </w:p>
        </w:tc>
      </w:tr>
      <w:tr w:rsidR="00EE1CB7">
        <w:tc>
          <w:tcPr>
            <w:tcW w:w="4909" w:type="dxa"/>
          </w:tcPr>
          <w:p w:rsidR="00EE1CB7" w:rsidRDefault="0034634B">
            <w:pPr>
              <w:widowControl w:val="0"/>
              <w:rPr>
                <w:rFonts w:cs="Times New Roman"/>
                <w:i/>
                <w:noProof/>
                <w:color w:val="1F497D" w:themeColor="text2"/>
              </w:rPr>
            </w:pPr>
            <w:r>
              <w:rPr>
                <w:rFonts w:cs="Times New Roman"/>
                <w:i/>
                <w:noProof/>
                <w:color w:val="1F497D" w:themeColor="text2"/>
                <w:lang w:bidi="ar-SA"/>
              </w:rPr>
              <w:drawing>
                <wp:inline distT="0" distB="0" distL="0" distR="0">
                  <wp:extent cx="2971800" cy="2188845"/>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71800" cy="2188845"/>
                          </a:xfrm>
                          <a:prstGeom prst="rect">
                            <a:avLst/>
                          </a:prstGeom>
                          <a:noFill/>
                          <a:ln>
                            <a:noFill/>
                          </a:ln>
                        </pic:spPr>
                      </pic:pic>
                    </a:graphicData>
                  </a:graphic>
                </wp:inline>
              </w:drawing>
            </w:r>
          </w:p>
        </w:tc>
      </w:tr>
    </w:tbl>
    <w:p w:rsidR="00EE1CB7" w:rsidRDefault="0034634B">
      <w:pPr>
        <w:rPr>
          <w:rFonts w:cstheme="minorHAnsi"/>
          <w:b/>
          <w:bCs/>
          <w:noProof/>
          <w:color w:val="1F497D"/>
        </w:rPr>
      </w:pPr>
      <w:r>
        <w:rPr>
          <w:rFonts w:cstheme="minorHAnsi"/>
          <w:b/>
          <w:noProof/>
          <w:color w:val="1F497D"/>
        </w:rPr>
        <w:t xml:space="preserve">Οδηγία για την επεξεργασία των αστικών λυμάτων </w:t>
      </w:r>
    </w:p>
    <w:p w:rsidR="00EE1CB7" w:rsidRDefault="0034634B">
      <w:pPr>
        <w:rPr>
          <w:noProof/>
        </w:rPr>
      </w:pPr>
      <w:r>
        <w:rPr>
          <w:noProof/>
        </w:rPr>
        <w:t>Όσον αφορά τη συνολική συμμόρφωση της Ελλάδας με την οδηγία για την επεξεργασία των αστικών λυμάτων, συλλέγεται το 100 % των λυμάτων. Ωστόσο, το 89,6 % του όγκου συνδέεται με συστήματα συλλογής, ενώ το 10,4 % υπόκειται σε επεξεργασία μέσω μεμονωμένων ή άλλων κατάλληλων συστημάτων (για παράδειγμα, σηπτικές δεξαμενές, μονάδες αποθήκευσης ή μεμονωμένοι σταθμοί επεξεργασίας). Μεταξύ των 455 οικισμών που αναφέρθηκαν από την Ελλάδα, οι 217 είναι αποκλειστικά συνδεδεμένοι με μεμονωμένα ή άλλα κατάλληλα συστήματα (από αυτούς έχει προκύψει όγκος 2 000 έως 28 000 ανά πληθυσμό). Το υψηλό ποσοστό σύνδεσης με τα εν λόγω συστήματα, για τα οποία δεν διατίθενται πληροφορίες, πρέπει να λαμβάνεται υπόψη κατά την ανάλυση της συνολικής συμμόρφωσης. Όσον αφορά την επεξεργασία, 98,8 % των συλλεγόμενων λυμάτων υποβάλλονται σε δευτεροβάθμια επεξεργασία, ενώ το 99,6 % υποβάλλονται σε αυστηρότερη επεξεργασία.</w:t>
      </w:r>
    </w:p>
    <w:p w:rsidR="00EE1CB7" w:rsidRDefault="0034634B">
      <w:pPr>
        <w:rPr>
          <w:noProof/>
        </w:rPr>
      </w:pPr>
      <w:r>
        <w:rPr>
          <w:noProof/>
        </w:rPr>
        <w:t xml:space="preserve">Προκειμένου να διασφαλίζεται ότι πραγματοποιείται κατάλληλη συλλογή και επεξεργασία των λυμάτων στους </w:t>
      </w:r>
      <w:r>
        <w:rPr>
          <w:noProof/>
        </w:rPr>
        <w:lastRenderedPageBreak/>
        <w:t>υπόλοιπους οικισμούς, απαιτείται επένδυση ύψους περίπου 1 568 εκατ. EUR</w:t>
      </w:r>
      <w:r>
        <w:rPr>
          <w:noProof/>
          <w:vertAlign w:val="superscript"/>
        </w:rPr>
        <w:footnoteReference w:id="66"/>
      </w:r>
      <w:r>
        <w:rPr>
          <w:noProof/>
        </w:rPr>
        <w:t>. Έχει δρομολογηθεί έργο τεχνικής βοήθειας για την Ελλάδα από την Επιτροπή για τη συστηματική αξιολόγηση και στρατηγική αναδιοργάνωση των επενδυτικών αναγκών της χώρας για την επεξεργασία των αστικών λυμάτων.</w:t>
      </w:r>
    </w:p>
    <w:p w:rsidR="00EE1CB7" w:rsidRDefault="0034634B">
      <w:pPr>
        <w:widowControl w:val="0"/>
        <w:rPr>
          <w:rFonts w:eastAsia="Times New Roman" w:cs="Arial"/>
          <w:b/>
          <w:noProof/>
          <w:color w:val="1F497D" w:themeColor="text2"/>
          <w:szCs w:val="20"/>
        </w:rPr>
      </w:pPr>
      <w:r>
        <w:rPr>
          <w:rFonts w:cstheme="minorHAnsi"/>
          <w:b/>
          <w:noProof/>
          <w:color w:val="1F497D"/>
        </w:rPr>
        <w:t>Οδηγία για τις πλημμύρες</w:t>
      </w:r>
    </w:p>
    <w:p w:rsidR="00EE1CB7" w:rsidRDefault="0034634B">
      <w:pPr>
        <w:rPr>
          <w:noProof/>
        </w:rPr>
      </w:pPr>
      <w:r>
        <w:rPr>
          <w:noProof/>
        </w:rPr>
        <w:t>Η οδηγία για τις πλημμύρες θέσπισε ένα πλαίσιο για την αξιολόγηση και διαχείριση των κινδύνων πλημμύρας, με στόχο τη μείωση των αρνητικών συνεπειών που συνδέονται με τις σημαντικές πλημμύρες.</w:t>
      </w:r>
    </w:p>
    <w:p w:rsidR="00EE1CB7" w:rsidRDefault="0034634B">
      <w:pPr>
        <w:rPr>
          <w:rFonts w:cstheme="minorHAnsi"/>
          <w:noProof/>
          <w:szCs w:val="20"/>
        </w:rPr>
      </w:pPr>
      <w:r>
        <w:rPr>
          <w:noProof/>
        </w:rPr>
        <w:t>Η Ελλάδα ενέκρινε και υπέβαλε τις οικείες προκαταρκτικές αξιολογήσεις κινδύνου πλημμύρας και τους οικείους χάρτες επικινδυνότητας πλημμύρας και κινδύνων πλημμύρας βάσει της οδηγίας για τις πλημμύρες. Τα πρώτα σχέδια διαχείρισης των κινδύνων πλημμύρας υποβλήθηκαν από την Ελλάδα στην Ευρωπαϊκή Επιτροπή τον Οκτώβριο/Νοέμβριο του 2018. Η Ευρωπαϊκή Επιτροπή δεν έχει διενεργήσει ακόμη αξιολόγηση των σχεδίων.</w:t>
      </w:r>
    </w:p>
    <w:p w:rsidR="00EE1CB7" w:rsidRDefault="0034634B">
      <w:pPr>
        <w:widowControl w:val="0"/>
        <w:rPr>
          <w:rFonts w:cstheme="minorHAnsi"/>
          <w:noProof/>
          <w:color w:val="1F497D" w:themeColor="text2"/>
          <w:sz w:val="22"/>
          <w:szCs w:val="26"/>
        </w:rPr>
      </w:pPr>
      <w:r>
        <w:rPr>
          <w:rFonts w:cstheme="minorHAnsi"/>
          <w:noProof/>
          <w:color w:val="1F497D" w:themeColor="text2"/>
          <w:sz w:val="22"/>
        </w:rPr>
        <w:t>Δράσεις προτεραιότητας για το 2019</w:t>
      </w:r>
    </w:p>
    <w:p w:rsidR="00EE1CB7" w:rsidRDefault="0034634B">
      <w:pPr>
        <w:pStyle w:val="a1"/>
        <w:rPr>
          <w:noProof/>
        </w:rPr>
      </w:pPr>
      <w:r>
        <w:rPr>
          <w:noProof/>
        </w:rPr>
        <w:t>Διασφάλιση της έγκαιρης έγκρισης των επόμενων σχεδίων διαχείρισης των λεκανών απορροής ποταμού και σχεδίων διαχείρισης των κινδύνων πλημμύρας σύμφωνα με τις οδηγίες.</w:t>
      </w:r>
    </w:p>
    <w:p w:rsidR="00EE1CB7" w:rsidRDefault="0034634B">
      <w:pPr>
        <w:pStyle w:val="a1"/>
        <w:rPr>
          <w:noProof/>
        </w:rPr>
      </w:pPr>
      <w:r>
        <w:rPr>
          <w:noProof/>
        </w:rPr>
        <w:t>Ταχεία πρόοδος όσον αφορά την εκπόνηση νέων προγραμμάτων δράσης που θα συμμορφώνονται πλήρως με τις διατάξεις της οδηγίας για τη νιτρορύπανση.</w:t>
      </w:r>
    </w:p>
    <w:p w:rsidR="00EE1CB7" w:rsidRDefault="0034634B">
      <w:pPr>
        <w:pStyle w:val="a1"/>
        <w:rPr>
          <w:i/>
          <w:iCs/>
          <w:noProof/>
        </w:rPr>
      </w:pPr>
      <w:r>
        <w:rPr>
          <w:noProof/>
        </w:rPr>
        <w:t>Όσον αφορά την επεξεργασία των αστικών λυμάτων, εξέταση του ζητήματος των μεμονωμένων συστημάτων αποχέτευσης, ιδίως δε της πιθανής αντικατάστασής τους από συστήματα συλλογής και σταθμούς επεξεργασίας, εφόσον κρίνεται κατάλληλο, π.χ. σε οικισμούς με αρκετή πυκνότητα πληθυσμού.</w:t>
      </w:r>
      <w:r>
        <w:rPr>
          <w:rFonts w:ascii="Arial Unicode MS" w:hAnsi="Arial Unicode MS"/>
          <w:i/>
          <w:noProof/>
        </w:rPr>
        <w:t xml:space="preserve"> </w:t>
      </w:r>
    </w:p>
    <w:p w:rsidR="00EE1CB7" w:rsidRDefault="0034634B">
      <w:pPr>
        <w:pStyle w:val="21"/>
        <w:rPr>
          <w:noProof/>
        </w:rPr>
      </w:pPr>
      <w:bookmarkStart w:id="86" w:name="_Toc508706657"/>
      <w:bookmarkStart w:id="87" w:name="_Toc509391849"/>
      <w:bookmarkStart w:id="88" w:name="_Toc525660382"/>
      <w:bookmarkStart w:id="89" w:name="_Toc546028"/>
      <w:bookmarkStart w:id="90" w:name="_Toc13470671"/>
      <w:bookmarkStart w:id="91" w:name="_Toc436815691"/>
      <w:bookmarkStart w:id="92" w:name="_Toc454460687"/>
      <w:r>
        <w:rPr>
          <w:noProof/>
        </w:rPr>
        <w:t>Χημικές ουσίες</w:t>
      </w:r>
      <w:bookmarkEnd w:id="86"/>
      <w:bookmarkEnd w:id="87"/>
      <w:bookmarkEnd w:id="88"/>
      <w:bookmarkEnd w:id="89"/>
      <w:bookmarkEnd w:id="90"/>
    </w:p>
    <w:p w:rsidR="00EE1CB7" w:rsidRDefault="0034634B">
      <w:pPr>
        <w:widowControl w:val="0"/>
        <w:shd w:val="clear" w:color="auto" w:fill="4F81BD" w:themeFill="accent1"/>
        <w:spacing w:after="240"/>
        <w:rPr>
          <w:rFonts w:cstheme="minorHAnsi"/>
          <w:i/>
          <w:noProof/>
          <w:color w:val="FFFFFF" w:themeColor="background1"/>
          <w:szCs w:val="20"/>
        </w:rPr>
      </w:pPr>
      <w:r>
        <w:rPr>
          <w:rFonts w:cstheme="minorHAnsi"/>
          <w:noProof/>
          <w:color w:val="FFFFFF" w:themeColor="background1"/>
        </w:rPr>
        <w:t>Η ΕΕ επιδιώκει να διασφαλίσει, έως το 2020, την παραγωγή και τη χρήση των χημικών ουσιών κατά τρόπους που ελαχιστοποιούν τις σημαντικές δυσμενείς επιδράσεις στην ανθρώπινη υγεία και στο περιβάλλον. Εκπονείται στρατηγική της ΕΕ για ένα μη τοξικό περιβάλλον που ευνοεί την καινοτομία και την ανάπτυξη βιώσιμων υποκατάστατων, συμπεριλαμβανομένων μη χημικών λύσεων.</w:t>
      </w:r>
    </w:p>
    <w:p w:rsidR="00EE1CB7" w:rsidRDefault="0034634B">
      <w:pPr>
        <w:rPr>
          <w:rFonts w:cstheme="minorHAnsi"/>
          <w:noProof/>
        </w:rPr>
      </w:pPr>
      <w:r>
        <w:rPr>
          <w:noProof/>
        </w:rPr>
        <w:t>Η ενωσιακή νομοθεσία περί των χημικών προϊόντων</w:t>
      </w:r>
      <w:r>
        <w:rPr>
          <w:rStyle w:val="ae"/>
          <w:noProof/>
        </w:rPr>
        <w:footnoteReference w:id="67"/>
      </w:r>
      <w:r>
        <w:rPr>
          <w:noProof/>
        </w:rPr>
        <w:t xml:space="preserve"> παρέχει βασική προστασία της ανθρώπινης υγείας και του περιβάλλοντος. Επίσης, διασφαλίζει τη σταθερότητα και την προβλεψιμότητα για τις επιχειρήσεις που δραστηριοποιούνται στην εσωτερική αγορά.</w:t>
      </w:r>
    </w:p>
    <w:p w:rsidR="00EE1CB7" w:rsidRDefault="0034634B">
      <w:pPr>
        <w:rPr>
          <w:noProof/>
          <w:color w:val="000000" w:themeColor="text1"/>
        </w:rPr>
      </w:pPr>
      <w:r>
        <w:rPr>
          <w:noProof/>
        </w:rPr>
        <w:t>Το 2016 ο Ευρωπαϊκός Οργανισμός Χημικών Προϊόντων εξέδωσε έκθεση σχετικά με τον κανονισμό REACH και τον κανονισμό CLP</w:t>
      </w:r>
      <w:r>
        <w:rPr>
          <w:rStyle w:val="ae"/>
          <w:noProof/>
        </w:rPr>
        <w:footnoteReference w:id="68"/>
      </w:r>
      <w:r>
        <w:rPr>
          <w:noProof/>
        </w:rPr>
        <w:t>, σύμφωνα με την οποία οι δραστηριότητες επιβολής της νομοθεσίας εξακολουθούν να εξελίσσονται. Τα κράτη μέλη συνεργάζονται στενά στο πλαίσιο του φόρουμ ανταλλαγής πληροφοριών σχετικά με τον έλεγχο εφαρμογής</w:t>
      </w:r>
      <w:r>
        <w:rPr>
          <w:rStyle w:val="ae"/>
          <w:noProof/>
        </w:rPr>
        <w:footnoteReference w:id="69"/>
      </w:r>
      <w:r>
        <w:rPr>
          <w:noProof/>
        </w:rPr>
        <w:t>. Από την εν λόγω συνεργασία προέκυψε ότι υπάρχει περιθώριο αύξησης της αποτελεσματικότητας των δραστηριοτήτων επιβολής της νομοθεσίας, ιδίως όσον αφορά τις υποχρεώσεις καταχώρισης και τα δελτία δεδομένων ασφαλείας όπου η μη συμμόρφωση εξακολουθεί να είναι σχετικά υψηλή.</w:t>
      </w:r>
    </w:p>
    <w:p w:rsidR="00EE1CB7" w:rsidRDefault="0034634B">
      <w:pPr>
        <w:rPr>
          <w:noProof/>
        </w:rPr>
      </w:pPr>
      <w:r>
        <w:rPr>
          <w:noProof/>
        </w:rPr>
        <w:t>Ενώ έχει σημειωθεί πρόοδος, υπάρχει περιθώριο περαιτέρω βελτίωσης και εναρμόνισης των δραστηριοτήτων επιβολής της νομοθεσίας στην ΕΕ, συμπεριλαμβανομένων ελέγχων στα εισαγόμενα προϊόντα. Η επιβολή της νομοθεσίας παραμένει χαμηλή σε ορισμένα κράτη μέλη, ιδίως όσον αφορά τους ελέγχους στις εισαγωγές και τις υποχρεώσεις που σχετίζονται με την αλυσίδα εφοδιασμού. Στις περισσότερες χώρες της ΕΕ η αρχιτεκτονική της επιβολής της νομοθεσίας είναι σύνθετη και από τα έργα επιβολής της νομοθεσίας διαπιστώνονται διαφορές στη συμμόρφωση μεταξύ των κρατών μελών.</w:t>
      </w:r>
    </w:p>
    <w:p w:rsidR="00EE1CB7" w:rsidRDefault="0034634B">
      <w:pPr>
        <w:rPr>
          <w:noProof/>
          <w:color w:val="000000" w:themeColor="text1"/>
        </w:rPr>
      </w:pPr>
      <w:r>
        <w:rPr>
          <w:noProof/>
        </w:rPr>
        <w:t>Ήδη από το 2015, η Επιτροπή είχε τονίσει σε μελέτη της τη σημασία της εναρμονισμένης εποπτείας της αγοράς και της εναρμονισμένης επιβολής κατά την εφαρμογή του κανονισμού REACH σε επίπεδο κρατών μελών, καθώς θεωρούσε ότι αποτελεί ουσιώδη παράγοντα επιτυχίας όσον αφορά τη λειτουργία εναρμονισμένης ενιαίας αγοράς</w:t>
      </w:r>
      <w:r>
        <w:rPr>
          <w:rStyle w:val="ae"/>
          <w:noProof/>
        </w:rPr>
        <w:footnoteReference w:id="70"/>
      </w:r>
      <w:r>
        <w:rPr>
          <w:noProof/>
        </w:rPr>
        <w:t>.</w:t>
      </w:r>
    </w:p>
    <w:p w:rsidR="00EE1CB7" w:rsidRDefault="0034634B">
      <w:pPr>
        <w:pStyle w:val="Web"/>
        <w:spacing w:before="0" w:beforeAutospacing="0" w:after="120" w:afterAutospacing="0"/>
        <w:rPr>
          <w:rFonts w:ascii="Calibri" w:hAnsi="Calibri" w:cs="Calibri"/>
          <w:noProof/>
          <w:color w:val="000000"/>
          <w:sz w:val="20"/>
          <w:szCs w:val="20"/>
        </w:rPr>
      </w:pPr>
      <w:r>
        <w:rPr>
          <w:rFonts w:ascii="Calibri" w:hAnsi="Calibri"/>
          <w:noProof/>
          <w:color w:val="000000"/>
          <w:sz w:val="20"/>
        </w:rPr>
        <w:t>Τον Μάρτιο του 2018, η Επιτροπή εξέδωσε αξιολόγηση του κανονισμού REACH</w:t>
      </w:r>
      <w:r>
        <w:rPr>
          <w:rStyle w:val="ae"/>
          <w:rFonts w:ascii="Calibri" w:hAnsi="Calibri"/>
          <w:noProof/>
          <w:color w:val="000000"/>
          <w:sz w:val="20"/>
        </w:rPr>
        <w:footnoteReference w:id="71"/>
      </w:r>
      <w:r>
        <w:rPr>
          <w:rFonts w:ascii="Calibri" w:hAnsi="Calibri"/>
          <w:noProof/>
          <w:color w:val="000000"/>
          <w:sz w:val="20"/>
        </w:rPr>
        <w:t xml:space="preserve">. Η αξιολόγηση καταλήγει στο συμπέρασμα ότι ο κανονισμός REACH παράγει αποτελέσματα προς την επίτευξη των στόχων του, αλλά η εν λόγω πρόοδος είναι βραδύτερη από την προσδοκώμενη. Επιπλέον, οι φάκελοι καταχώρισης είναι </w:t>
      </w:r>
      <w:r>
        <w:rPr>
          <w:rFonts w:ascii="Calibri" w:hAnsi="Calibri"/>
          <w:noProof/>
          <w:color w:val="000000"/>
          <w:sz w:val="20"/>
        </w:rPr>
        <w:lastRenderedPageBreak/>
        <w:t xml:space="preserve">συχνά ελλιπείς. Στην αξιολόγηση τονίζεται η ανάγκη ενίσχυσης της επιβολής της νομοθεσίας από όλους τους παράγοντες, μεταξύ άλλων, από τους καταχωρίζοντες, από τους μεταγενέστερους χρήστες και ιδίως από τους εισαγωγείς, για την εξασφάλιση ισότιμων όρων ανταγωνισμού, την επίτευξη των στόχων του REACH και τη διασφάλιση της συνοχής με τις δράσεις που αποσκοπούν στη βελτίωση της περιβαλλοντικής συμμόρφωσης και διακυβέρνησης. Η συνεπής υποβολή εκθέσεων σχετικά με τις δραστηριότητες επιβολής της νομοθεσίας από τα κράτη μέλη θεωρείται σημαντική προς τον σκοπό αυτό. </w:t>
      </w:r>
    </w:p>
    <w:p w:rsidR="00EE1CB7" w:rsidRDefault="0034634B">
      <w:pPr>
        <w:rPr>
          <w:noProof/>
        </w:rPr>
      </w:pPr>
      <w:r>
        <w:rPr>
          <w:noProof/>
        </w:rPr>
        <w:t>Στην Ελλάδα, το Υπουργείο Οικονομίας και Οικονομικών είναι αρμόδιο για την επιβολή της νομοθεσίας. Τα καθήκοντα επιθεώρησης ασκούνται από τη Διεύθυνση Περιβάλλοντος του Γενικού Χημείου του Κράτους. Οι οικείοι εμπειρογνώμονες πρέπει να επιθεωρούν εταιρείες που παράγουν, εισάγουν και διανέμουν ουσίες, μείγματα και αντικείμενα στο πλαίσιο του REACH. Οι συνοριακοί έλεγχοι των εμπορευμάτων που παράγουν οι εν λόγω εταιρείες διενεργούνται από ένα δίκτυο υπαλλήλων του ΓΧΚ (25 ειδικά καταρτισμένοι χημικοί / χημικοί μηχανικοί) σε συνεργασία με τις τελωνειακές αρχές</w:t>
      </w:r>
      <w:r>
        <w:rPr>
          <w:rStyle w:val="ae"/>
          <w:noProof/>
        </w:rPr>
        <w:footnoteReference w:id="72"/>
      </w:r>
      <w:r>
        <w:rPr>
          <w:noProof/>
        </w:rPr>
        <w:t>.</w:t>
      </w:r>
    </w:p>
    <w:p w:rsidR="00EE1CB7" w:rsidRDefault="0034634B">
      <w:pPr>
        <w:rPr>
          <w:noProof/>
        </w:rPr>
      </w:pPr>
      <w:r>
        <w:rPr>
          <w:noProof/>
        </w:rPr>
        <w:t>Συνήθως, οι εταιρείες ειδοποιούνται για τις επικείμενες επιθεωρήσεις. Οι επιθεωρήσεις πραγματοποιούνται σε ετήσια βάση και διενεργούνται από τις περιφερειακές χημικές υπηρεσίες του ΓΧΚ σε συντονισμό και υπό την εποπτεία της Διεύθυνσης Περιβάλλοντος.</w:t>
      </w:r>
    </w:p>
    <w:p w:rsidR="00EE1CB7" w:rsidRDefault="0034634B">
      <w:pPr>
        <w:rPr>
          <w:noProof/>
        </w:rPr>
      </w:pPr>
      <w:r>
        <w:rPr>
          <w:noProof/>
        </w:rPr>
        <w:t>Οι εταιρείες ενημερώνονται για τα πορίσματα των επιθεωρήσεων. Αν διαπιστωθεί η μη συμμόρφωση εταιρείας με τη νομοθεσία, της επιβάλλονται κυρώσεις σύμφωνα με την εθνική νομοθεσία.</w:t>
      </w:r>
    </w:p>
    <w:p w:rsidR="00EE1CB7" w:rsidRDefault="0034634B">
      <w:pPr>
        <w:pStyle w:val="21"/>
        <w:rPr>
          <w:noProof/>
        </w:rPr>
      </w:pPr>
      <w:bookmarkStart w:id="93" w:name="_Toc509391850"/>
      <w:bookmarkStart w:id="94" w:name="_Toc525660383"/>
      <w:bookmarkStart w:id="95" w:name="_Toc546029"/>
      <w:bookmarkStart w:id="96" w:name="_Toc13470672"/>
      <w:r>
        <w:rPr>
          <w:noProof/>
        </w:rPr>
        <w:t>Ενίσχυση της βιωσιμότητας των πόλεων</w:t>
      </w:r>
      <w:bookmarkEnd w:id="91"/>
      <w:bookmarkEnd w:id="93"/>
      <w:bookmarkEnd w:id="94"/>
      <w:bookmarkEnd w:id="95"/>
      <w:bookmarkEnd w:id="96"/>
    </w:p>
    <w:p w:rsidR="00EE1CB7" w:rsidRDefault="0034634B">
      <w:pPr>
        <w:widowControl w:val="0"/>
        <w:shd w:val="clear" w:color="auto" w:fill="4F81BD" w:themeFill="accent1"/>
        <w:spacing w:after="240"/>
        <w:rPr>
          <w:rFonts w:cstheme="minorHAnsi"/>
          <w:noProof/>
          <w:color w:val="FFFFFF" w:themeColor="background1"/>
          <w:szCs w:val="20"/>
        </w:rPr>
      </w:pPr>
      <w:r>
        <w:rPr>
          <w:rFonts w:cstheme="minorHAnsi"/>
          <w:noProof/>
          <w:color w:val="FFFFFF" w:themeColor="background1"/>
        </w:rPr>
        <w:t>Η ενωσιακή πολιτική για το αστικό περιβάλλον ενθαρρύνει τις πόλεις να θεσπίζουν πολιτικές για βιώσιμο πολεοδομικό προγραμματισμό και σχεδιασμό. Σε αυτές θα πρέπει να περιλαμβάνονται καινοτόμες προσεγγίσεις στους τομείς των δημόσιων αστικών συγκοινωνιών και της αστικής κινητικότητας, των βιώσιμων κτιρίων, της ενεργειακής απόδοσης και της διατήρησης της αστικής βιοποικιλότητας.</w:t>
      </w:r>
    </w:p>
    <w:p w:rsidR="00EE1CB7" w:rsidRDefault="0034634B">
      <w:pPr>
        <w:widowControl w:val="0"/>
        <w:suppressAutoHyphens/>
        <w:rPr>
          <w:rFonts w:ascii="Calibri" w:eastAsia="Calibri" w:hAnsi="Calibri" w:cs="Times New Roman"/>
          <w:noProof/>
          <w:color w:val="000000"/>
          <w:szCs w:val="20"/>
        </w:rPr>
      </w:pPr>
      <w:r>
        <w:rPr>
          <w:rFonts w:ascii="Calibri" w:hAnsi="Calibri"/>
          <w:noProof/>
        </w:rPr>
        <w:t>Ο πληθυσμός που ζει σε αστικές περιοχές στην Ευρώπη προβλέπεται ότι θα αυξηθεί λίγο πάνω από το 80 % έως το 2050</w:t>
      </w:r>
      <w:r>
        <w:rPr>
          <w:rStyle w:val="ae"/>
          <w:rFonts w:ascii="Calibri" w:hAnsi="Calibri"/>
          <w:noProof/>
          <w:color w:val="000000"/>
        </w:rPr>
        <w:footnoteReference w:id="73"/>
      </w:r>
      <w:r>
        <w:rPr>
          <w:rFonts w:ascii="Calibri" w:hAnsi="Calibri"/>
          <w:noProof/>
        </w:rPr>
        <w:t xml:space="preserve">. </w:t>
      </w:r>
      <w:r>
        <w:rPr>
          <w:rFonts w:ascii="Calibri" w:hAnsi="Calibri"/>
          <w:noProof/>
          <w:color w:val="000000"/>
        </w:rPr>
        <w:t xml:space="preserve">Οι αστικές περιοχές θέτουν ιδιαίτερες προκλήσεις για το περιβάλλον και την ανθρώπινη υγεία, αλλά παρέχουν επίσης δυνατότητες για αποδοτικότερη </w:t>
      </w:r>
      <w:r>
        <w:rPr>
          <w:rFonts w:ascii="Calibri" w:hAnsi="Calibri"/>
          <w:noProof/>
          <w:color w:val="000000"/>
        </w:rPr>
        <w:t>χρήση των πόρων. Η ΕΕ ενθαρρύνει τις πόλεις να γίνουν πιο πράσινες μέσω πρωτοβουλιών όπως το βραβείο «Πράσινη Πρωτεύουσα»</w:t>
      </w:r>
      <w:r>
        <w:rPr>
          <w:rFonts w:ascii="Calibri" w:hAnsi="Calibri"/>
          <w:noProof/>
          <w:color w:val="000000"/>
          <w:vertAlign w:val="superscript"/>
        </w:rPr>
        <w:footnoteReference w:id="74"/>
      </w:r>
      <w:r>
        <w:rPr>
          <w:rFonts w:ascii="Calibri" w:hAnsi="Calibri"/>
          <w:noProof/>
          <w:color w:val="000000"/>
        </w:rPr>
        <w:t>, το βραβείο «Πράσινο Φύλλο»</w:t>
      </w:r>
      <w:r>
        <w:rPr>
          <w:rFonts w:ascii="Calibri" w:hAnsi="Calibri"/>
          <w:noProof/>
          <w:color w:val="000000"/>
          <w:vertAlign w:val="superscript"/>
        </w:rPr>
        <w:footnoteReference w:id="75"/>
      </w:r>
      <w:r>
        <w:rPr>
          <w:rFonts w:ascii="Calibri" w:hAnsi="Calibri"/>
          <w:noProof/>
          <w:color w:val="000000"/>
        </w:rPr>
        <w:t xml:space="preserve"> και το εργαλείο Green City</w:t>
      </w:r>
      <w:r>
        <w:rPr>
          <w:rFonts w:ascii="Calibri" w:hAnsi="Calibri"/>
          <w:noProof/>
          <w:color w:val="000000"/>
          <w:vertAlign w:val="superscript"/>
        </w:rPr>
        <w:footnoteReference w:id="76"/>
      </w:r>
      <w:r>
        <w:rPr>
          <w:rFonts w:ascii="Calibri" w:hAnsi="Calibri"/>
          <w:noProof/>
          <w:color w:val="000000"/>
        </w:rPr>
        <w:t>.</w:t>
      </w:r>
    </w:p>
    <w:p w:rsidR="00EE1CB7" w:rsidRDefault="0034634B">
      <w:pPr>
        <w:rPr>
          <w:b/>
          <w:bCs/>
          <w:noProof/>
          <w:color w:val="1F497D" w:themeColor="text2"/>
        </w:rPr>
      </w:pPr>
      <w:r>
        <w:rPr>
          <w:b/>
          <w:noProof/>
          <w:color w:val="1F497D" w:themeColor="text2"/>
        </w:rPr>
        <w:t>Χρηματοδότηση πιο πράσινων πόλεων</w:t>
      </w:r>
    </w:p>
    <w:p w:rsidR="00EE1CB7" w:rsidRDefault="0034634B">
      <w:pPr>
        <w:rPr>
          <w:noProof/>
        </w:rPr>
      </w:pPr>
      <w:r>
        <w:rPr>
          <w:rFonts w:ascii="Calibri" w:hAnsi="Calibri"/>
          <w:noProof/>
        </w:rPr>
        <w:t>Η Ελλάδα προορίζει ενδεικτικά να διαθέσει το 5 % των κονδυλίων του Ευρωπαϊκού Ταμείου Περιφερειακής Ανάπτυξης (ΕΤΠΑ) και το 8 % των κονδυλίων του Ευρωπαϊκού Κοινωνικού Ταμείου (ΕΚΤ) για τη βιώσιμη αστική ανάπτυξη</w:t>
      </w:r>
      <w:r>
        <w:rPr>
          <w:rStyle w:val="ae"/>
          <w:rFonts w:ascii="Calibri" w:hAnsi="Calibri"/>
          <w:noProof/>
        </w:rPr>
        <w:footnoteReference w:id="77"/>
      </w:r>
      <w:r>
        <w:rPr>
          <w:rFonts w:ascii="Calibri" w:hAnsi="Calibri"/>
          <w:noProof/>
        </w:rPr>
        <w:t>.</w:t>
      </w:r>
    </w:p>
    <w:p w:rsidR="00EE1CB7" w:rsidRDefault="0034634B">
      <w:pPr>
        <w:rPr>
          <w:rFonts w:ascii="Calibri" w:eastAsia="Calibri" w:hAnsi="Calibri" w:cs="Calibri"/>
          <w:noProof/>
        </w:rPr>
      </w:pPr>
      <w:r>
        <w:rPr>
          <w:rFonts w:ascii="Calibri" w:hAnsi="Calibri"/>
          <w:noProof/>
        </w:rPr>
        <w:t>Η Ελλάδα συμμετέχει στο ευρωπαϊκό δίκτυο αστικής ανάπτυξης (ΔΑΑ)</w:t>
      </w:r>
      <w:r>
        <w:rPr>
          <w:rStyle w:val="ae"/>
          <w:rFonts w:ascii="Calibri" w:hAnsi="Calibri"/>
          <w:noProof/>
        </w:rPr>
        <w:footnoteReference w:id="78"/>
      </w:r>
      <w:r>
        <w:rPr>
          <w:rFonts w:ascii="Calibri" w:hAnsi="Calibri"/>
          <w:noProof/>
        </w:rPr>
        <w:t>, που περιλαμβάνει πάνω από 500 πόλεις σε ολόκληρη την ΕΕ, οι οποίες είναι υπεύθυνες για την υλοποίηση ολοκληρωμένων δράσεων με βάση στρατηγικές για τη βιώσιμη αστική ανάπτυξη, χρηματοδοτούμενες από το ΕΤΠΑ την περίοδο 2014-2020.</w:t>
      </w:r>
    </w:p>
    <w:p w:rsidR="00EE1CB7" w:rsidRDefault="0034634B">
      <w:pPr>
        <w:rPr>
          <w:noProof/>
        </w:rPr>
      </w:pPr>
      <w:r>
        <w:rPr>
          <w:noProof/>
          <w:lang w:bidi="ar-SA"/>
        </w:rPr>
        <w:drawing>
          <wp:inline distT="0" distB="0" distL="0" distR="0">
            <wp:extent cx="2980055" cy="198649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ettyImages-468940432.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980055" cy="1986493"/>
                    </a:xfrm>
                    <a:prstGeom prst="rect">
                      <a:avLst/>
                    </a:prstGeom>
                  </pic:spPr>
                </pic:pic>
              </a:graphicData>
            </a:graphic>
          </wp:inline>
        </w:drawing>
      </w:r>
    </w:p>
    <w:p w:rsidR="00EE1CB7" w:rsidRDefault="0034634B">
      <w:pPr>
        <w:rPr>
          <w:noProof/>
        </w:rPr>
      </w:pPr>
      <w:r>
        <w:rPr>
          <w:rFonts w:ascii="Calibri" w:hAnsi="Calibri"/>
          <w:noProof/>
        </w:rPr>
        <w:t>Από τις πρωτοβουλίες του ΔΑΑ, το ΕΤΠΑ στηρίζει τις αστικές καινοτόμες δράσεις για τη δοκιμή νέων και μη αποδεδειγμένων λύσεων για τις αστικές προκλήσεις. Για τις αστικές καινοτόμες δράσεις διατίθεται, στο πλαίσιο του ΕΤΠΑ, συνολικός προϋπολογισμός ύψους 372 εκατ. EUR για την περίοδο 2014-2020</w:t>
      </w:r>
      <w:r>
        <w:rPr>
          <w:rStyle w:val="ae"/>
          <w:rFonts w:ascii="Calibri" w:hAnsi="Calibri"/>
          <w:noProof/>
        </w:rPr>
        <w:footnoteReference w:id="79"/>
      </w:r>
      <w:r>
        <w:rPr>
          <w:rFonts w:ascii="Calibri" w:hAnsi="Calibri"/>
          <w:noProof/>
        </w:rPr>
        <w:t>. Η Ελλάδα έχει λάβει χρηματοδότηση για δύο έργα που υλοποιούνται στην Αθήνα και το Ηράκλειο.</w:t>
      </w:r>
    </w:p>
    <w:p w:rsidR="00EE1CB7" w:rsidRDefault="0034634B">
      <w:pPr>
        <w:rPr>
          <w:rFonts w:ascii="Times New Roman,Calibri" w:eastAsia="Times New Roman,Calibri" w:hAnsi="Times New Roman,Calibri" w:cs="Times New Roman,Calibri"/>
          <w:b/>
          <w:bCs/>
          <w:noProof/>
          <w:color w:val="1F497D" w:themeColor="text2"/>
        </w:rPr>
      </w:pPr>
      <w:r>
        <w:rPr>
          <w:b/>
          <w:noProof/>
          <w:color w:val="1F497D" w:themeColor="text2"/>
        </w:rPr>
        <w:t>Συμμετοχή σε ενωσιακές πρωτοβουλίες και δίκτυα για το αστικό περιβάλλον</w:t>
      </w:r>
    </w:p>
    <w:p w:rsidR="00EE1CB7" w:rsidRDefault="0034634B">
      <w:pPr>
        <w:rPr>
          <w:noProof/>
        </w:rPr>
      </w:pPr>
      <w:r>
        <w:rPr>
          <w:noProof/>
        </w:rPr>
        <w:t>Οι δήμοι της Ελλάδας συμμετέχουν σε πρωτοβουλίες της ΕΕ για την προστασία του περιβάλλοντος και την κλιματική αλλαγή.</w:t>
      </w:r>
    </w:p>
    <w:p w:rsidR="00EE1CB7" w:rsidRDefault="0034634B">
      <w:pPr>
        <w:rPr>
          <w:noProof/>
        </w:rPr>
      </w:pPr>
      <w:r>
        <w:rPr>
          <w:noProof/>
        </w:rPr>
        <w:lastRenderedPageBreak/>
        <w:t>Συνολικά, 15 δήμοι συμμετέχουν στην πρωτοβουλία URBACT για τη στήριξη της βιώσιμης αστικής ανάπτυξης μέσω 18 διαφορετικών θεματικών δικτύων</w:t>
      </w:r>
      <w:r>
        <w:rPr>
          <w:rStyle w:val="ae"/>
          <w:rFonts w:ascii="Calibri" w:hAnsi="Calibri"/>
          <w:noProof/>
        </w:rPr>
        <w:footnoteReference w:id="80"/>
      </w:r>
      <w:r>
        <w:rPr>
          <w:noProof/>
        </w:rPr>
        <w:t>. Ωστόσο, επί του παρόντος επικεφαλής και στα 18 δίκτυα είναι δήμοι από άλλα κράτη μέλη.</w:t>
      </w:r>
    </w:p>
    <w:p w:rsidR="00EE1CB7" w:rsidRDefault="0034634B">
      <w:pPr>
        <w:rPr>
          <w:noProof/>
        </w:rPr>
      </w:pPr>
      <w:r>
        <w:rPr>
          <w:noProof/>
        </w:rPr>
        <w:t xml:space="preserve">Αρκετά έργα δικτύων του προγράμματος «Ορίζων 2020» συνέβαλαν επίσης στη βιωσιμότητα των ελληνικών πόλεων. Το δίκτυο </w:t>
      </w:r>
      <w:r>
        <w:rPr>
          <w:i/>
          <w:noProof/>
        </w:rPr>
        <w:t>CIVITAS</w:t>
      </w:r>
      <w:r>
        <w:rPr>
          <w:noProof/>
        </w:rPr>
        <w:t xml:space="preserve"> περιλαμβάνει 46 δήμους και μία περιφέρεια στην Ελλάδα, που συνεργάζονται για πιο καθαρές και καλύτερες μεταφορές στις πόλεις</w:t>
      </w:r>
      <w:r>
        <w:rPr>
          <w:rStyle w:val="ae"/>
          <w:rFonts w:ascii="Calibri" w:hAnsi="Calibri"/>
          <w:noProof/>
        </w:rPr>
        <w:footnoteReference w:id="81"/>
      </w:r>
      <w:r>
        <w:rPr>
          <w:noProof/>
        </w:rPr>
        <w:t>.</w:t>
      </w:r>
    </w:p>
    <w:p w:rsidR="00EE1CB7" w:rsidRDefault="0034634B">
      <w:pPr>
        <w:rPr>
          <w:noProof/>
        </w:rPr>
      </w:pPr>
      <w:r>
        <w:rPr>
          <w:noProof/>
        </w:rPr>
        <w:t>Επίσης, 156 ελληνικές πόλεις συμμετέχουν στην πρωτοβουλία «Σύμφωνο των Δημάρχων»</w:t>
      </w:r>
      <w:r>
        <w:rPr>
          <w:rStyle w:val="ae"/>
          <w:rFonts w:ascii="Calibri" w:hAnsi="Calibri"/>
          <w:noProof/>
        </w:rPr>
        <w:footnoteReference w:id="82"/>
      </w:r>
      <w:r>
        <w:rPr>
          <w:noProof/>
        </w:rPr>
        <w:t xml:space="preserve"> της ΕΕ, που συντονίζεται από τέσσερις περιφέρειες, το Κέντρο Ανανεώσιμων Πηγών και Εξοικονόμησης Ενέργειας και το Τεχνικό Επιμελητήριο Ελλάδας</w:t>
      </w:r>
      <w:r>
        <w:rPr>
          <w:rStyle w:val="ae"/>
          <w:rFonts w:ascii="Calibri" w:hAnsi="Calibri"/>
          <w:noProof/>
        </w:rPr>
        <w:footnoteReference w:id="83"/>
      </w:r>
      <w:r>
        <w:rPr>
          <w:noProof/>
        </w:rPr>
        <w:t>. Από τον Ιούλιο του 2018, 15 πόλεις υλοποίησαν τα σχέδια δράσης τους και παρακολουθούν τα αποτελέσματά τους. Άλλες 106 πόλεις έχουν τουλάχιστον παρουσιάσει το σχέδιο δράσης τους για το κλίμα και τις δεσμεύσεις που σκοπεύουν να εκπληρώσουν έως το 2020 ή το 2030.</w:t>
      </w:r>
    </w:p>
    <w:p w:rsidR="00EE1CB7" w:rsidRDefault="0034634B">
      <w:pPr>
        <w:widowControl w:val="0"/>
        <w:suppressAutoHyphens/>
        <w:rPr>
          <w:noProof/>
        </w:rPr>
      </w:pPr>
      <w:r>
        <w:rPr>
          <w:noProof/>
        </w:rPr>
        <w:t>Αυτές οι ευπρόσδεκτες πρωτοβουλίες και τα δίκτυα πόλεων συμβάλλουν στη βελτίωση του αστικού περιβάλλοντος. Το 2017, το 31,7 % του ελληνικού πληθυσμού που ζει στις πόλεις δήλωσαν ότι η γειτονιά τους έχει επηρεαστεί από ρύπανση, συσσωματωμένους ρύπους ή άλλα περιβαλλοντικά προβλήματα, ποσοστό που συνιστά αύξηση σε σχέση με το 29,9 % το 2016 και το 30,1 % το 2015. Αυτά τα αριθμητικά στοιχεία είναι σημαντικά υψηλότερα σε σύγκριση με τον μέσο όρο της ΕΕ-28 (20 % το 2017, 18,9 % το 2016 και 19,2 % το 2015)</w:t>
      </w:r>
      <w:r>
        <w:rPr>
          <w:rStyle w:val="ae"/>
          <w:rFonts w:ascii="Calibri" w:hAnsi="Calibri"/>
          <w:noProof/>
        </w:rPr>
        <w:footnoteReference w:id="84"/>
      </w:r>
      <w:r>
        <w:rPr>
          <w:noProof/>
        </w:rPr>
        <w:t>.</w:t>
      </w:r>
    </w:p>
    <w:p w:rsidR="00EE1CB7" w:rsidRDefault="0034634B">
      <w:pPr>
        <w:widowControl w:val="0"/>
        <w:suppressAutoHyphens/>
        <w:rPr>
          <w:rFonts w:eastAsiaTheme="minorEastAsia"/>
          <w:b/>
          <w:bCs/>
          <w:noProof/>
          <w:color w:val="1F497D" w:themeColor="text2"/>
        </w:rPr>
      </w:pPr>
      <w:r>
        <w:rPr>
          <w:rFonts w:eastAsiaTheme="minorEastAsia"/>
          <w:b/>
          <w:noProof/>
          <w:color w:val="1F497D" w:themeColor="text2"/>
        </w:rPr>
        <w:t>Φύση και πόλεις</w:t>
      </w:r>
    </w:p>
    <w:p w:rsidR="00EE1CB7" w:rsidRDefault="0034634B">
      <w:pPr>
        <w:widowControl w:val="0"/>
        <w:suppressAutoHyphens/>
        <w:rPr>
          <w:rFonts w:eastAsia="Calibri,Times New Roman" w:cs="Calibri,Times New Roman"/>
          <w:noProof/>
        </w:rPr>
      </w:pPr>
      <w:r>
        <w:rPr>
          <w:noProof/>
        </w:rPr>
        <w:t>Το 7 % περίπου του ελληνικού δικτύου Natura 2000 βρίσκεται σε λειτουργικές αστικές περιοχές</w:t>
      </w:r>
      <w:r>
        <w:rPr>
          <w:rStyle w:val="ae"/>
          <w:noProof/>
        </w:rPr>
        <w:footnoteReference w:id="85"/>
      </w:r>
      <w:r>
        <w:rPr>
          <w:noProof/>
        </w:rPr>
        <w:t>, ποσοστό που υπολείπεται του μέσου όρου της ΕΕ, που είναι 15 % (βλ. διάγραμμα 19).</w:t>
      </w:r>
    </w:p>
    <w:p w:rsidR="00EE1CB7" w:rsidRDefault="0034634B">
      <w:pPr>
        <w:widowControl w:val="0"/>
        <w:suppressAutoHyphens/>
        <w:rPr>
          <w:rFonts w:eastAsia="Calibri,Times New Roman" w:cs="Calibri,Times New Roman"/>
          <w:noProof/>
        </w:rPr>
      </w:pPr>
      <w:r>
        <w:rPr>
          <w:noProof/>
        </w:rPr>
        <w:t>Στην Ελλάδα υπάρχει έλλειψη χώρων πρασίνου στον αστικό ιστό. Σύμφωνα με την Παγκόσμια Οργάνωση Υγείας, η ιδανική αναλογία χώρων πρασίνου είναι 9 m</w:t>
      </w:r>
      <w:r>
        <w:rPr>
          <w:noProof/>
          <w:vertAlign w:val="superscript"/>
        </w:rPr>
        <w:t>2</w:t>
      </w:r>
      <w:r>
        <w:rPr>
          <w:noProof/>
        </w:rPr>
        <w:t xml:space="preserve"> ανά κάτοικο. Ο Οργανισμός Οικονομικής Συνεργασίας και Ανάπτυξης (ΟΟΣΑ) υπολόγισε ότι ο συνολικός χώρος </w:t>
      </w:r>
      <w:r>
        <w:rPr>
          <w:noProof/>
        </w:rPr>
        <w:t>πρασίνου της Αθήνας είναι 0,96 m</w:t>
      </w:r>
      <w:r>
        <w:rPr>
          <w:noProof/>
          <w:vertAlign w:val="superscript"/>
        </w:rPr>
        <w:t>2</w:t>
      </w:r>
      <w:r>
        <w:rPr>
          <w:noProof/>
        </w:rPr>
        <w:t xml:space="preserve"> ανά κάτοικο, ενώ το Αριστοτέλειο Πανεπιστήμιο υπολογίζει ότι ο συνολικός χώρος πρασίνου της Θεσσαλονίκης, της δεύτερης μεγαλύτερης πόλης της Ελλάδας, είναι ελαφρώς μεγαλύτερος, ήτοι 2,14 m</w:t>
      </w:r>
      <w:r>
        <w:rPr>
          <w:noProof/>
          <w:vertAlign w:val="superscript"/>
        </w:rPr>
        <w:t>2</w:t>
      </w:r>
      <w:r>
        <w:rPr>
          <w:noProof/>
        </w:rPr>
        <w:t xml:space="preserve"> ανά κάτοικο</w:t>
      </w:r>
      <w:r>
        <w:rPr>
          <w:rStyle w:val="ae"/>
          <w:noProof/>
        </w:rPr>
        <w:footnoteReference w:id="86"/>
      </w:r>
      <w:r>
        <w:rPr>
          <w:noProof/>
        </w:rPr>
        <w:t>.</w:t>
      </w:r>
    </w:p>
    <w:tbl>
      <w:tblPr>
        <w:tblStyle w:val="GridTable1Light-Accent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EE1CB7" w:rsidTr="00EE1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6" w:type="dxa"/>
          </w:tcPr>
          <w:p w:rsidR="00EE1CB7" w:rsidRDefault="0034634B">
            <w:pPr>
              <w:rPr>
                <w:noProof/>
              </w:rPr>
            </w:pPr>
            <w:r>
              <w:rPr>
                <w:noProof/>
                <w:color w:val="1F497D" w:themeColor="text2"/>
              </w:rPr>
              <w:t xml:space="preserve">Διάγραμμα 18: Ποσοστό του δικτύου Natura 2000 σε λειτουργικές αστικές περιοχές </w:t>
            </w:r>
          </w:p>
        </w:tc>
      </w:tr>
      <w:tr w:rsidR="00EE1CB7" w:rsidTr="00EE1CB7">
        <w:tc>
          <w:tcPr>
            <w:cnfStyle w:val="001000000000" w:firstRow="0" w:lastRow="0" w:firstColumn="1" w:lastColumn="0" w:oddVBand="0" w:evenVBand="0" w:oddHBand="0" w:evenHBand="0" w:firstRowFirstColumn="0" w:firstRowLastColumn="0" w:lastRowFirstColumn="0" w:lastRowLastColumn="0"/>
            <w:tcW w:w="9746" w:type="dxa"/>
          </w:tcPr>
          <w:p w:rsidR="00EE1CB7" w:rsidRDefault="0034634B">
            <w:pPr>
              <w:rPr>
                <w:noProof/>
              </w:rPr>
            </w:pPr>
            <w:r>
              <w:rPr>
                <w:noProof/>
                <w:lang w:bidi="ar-SA"/>
              </w:rPr>
              <w:drawing>
                <wp:inline distT="0" distB="0" distL="0" distR="0">
                  <wp:extent cx="2971800" cy="1517015"/>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71800" cy="1517015"/>
                          </a:xfrm>
                          <a:prstGeom prst="rect">
                            <a:avLst/>
                          </a:prstGeom>
                          <a:noFill/>
                          <a:ln>
                            <a:noFill/>
                          </a:ln>
                        </pic:spPr>
                      </pic:pic>
                    </a:graphicData>
                  </a:graphic>
                </wp:inline>
              </w:drawing>
            </w:r>
          </w:p>
        </w:tc>
      </w:tr>
    </w:tbl>
    <w:p w:rsidR="00EE1CB7" w:rsidRDefault="0034634B">
      <w:pPr>
        <w:rPr>
          <w:rFonts w:ascii="Calibri,Times New Roman" w:eastAsia="Calibri,Times New Roman" w:hAnsi="Calibri,Times New Roman" w:cs="Calibri,Times New Roman"/>
          <w:b/>
          <w:bCs/>
          <w:noProof/>
        </w:rPr>
      </w:pPr>
      <w:r>
        <w:rPr>
          <w:b/>
          <w:noProof/>
          <w:color w:val="1F497D" w:themeColor="text2"/>
        </w:rPr>
        <w:t>Άτακτη αστική εξάπλωση</w:t>
      </w:r>
    </w:p>
    <w:p w:rsidR="00EE1CB7" w:rsidRDefault="0034634B">
      <w:pPr>
        <w:rPr>
          <w:b/>
          <w:bCs/>
          <w:noProof/>
        </w:rPr>
      </w:pPr>
      <w:r>
        <w:rPr>
          <w:noProof/>
        </w:rPr>
        <w:t>Μεγάλα τμήματα της Ευρώπης επηρεάζονται από την άτακτη αστική εξάπλωση. Η τιμή της σταθμισμένης αστικής εξάπλωσης (weighted urban proliferation – WUP) για ολόκληρη την Ευρώπη (32 εξεταζόμενες χώρες, ήτοι ΕΕ-28 + 4) το 2009 ήταν 1,64 UPU/m</w:t>
      </w:r>
      <w:r>
        <w:rPr>
          <w:noProof/>
          <w:vertAlign w:val="superscript"/>
        </w:rPr>
        <w:t>2</w:t>
      </w:r>
      <w:r>
        <w:rPr>
          <w:noProof/>
        </w:rPr>
        <w:t xml:space="preserve"> (όπου οι τιμές της άτακτης αστικής εξάπλωσης για την Ευρώπη κυμαίνονταν από 0,1 έως 6,6 UPU/m</w:t>
      </w:r>
      <w:r>
        <w:rPr>
          <w:noProof/>
          <w:vertAlign w:val="superscript"/>
        </w:rPr>
        <w:t>2</w:t>
      </w:r>
      <w:r>
        <w:rPr>
          <w:noProof/>
        </w:rPr>
        <w:t>· ο μεγαλύτερος αριθμός αντιστοιχεί σε περισσότερη άτακτη αστική εξάπλωση). Η Ελλάδα (0,72 UPU/m</w:t>
      </w:r>
      <w:r>
        <w:rPr>
          <w:noProof/>
          <w:vertAlign w:val="superscript"/>
        </w:rPr>
        <w:t>2</w:t>
      </w:r>
      <w:r>
        <w:rPr>
          <w:noProof/>
        </w:rPr>
        <w:t xml:space="preserve"> το 2009) συγκαταλέγεται μεταξύ των πέντε χωρών με τις χαμηλότερες τιμές άτακτης αστικής εξάπλωσης, με αύξηση 9 % από το 2006 έως το 2009, ενώ η συνολική αύξηση ήταν 5 %</w:t>
      </w:r>
      <w:r>
        <w:rPr>
          <w:rStyle w:val="ae"/>
          <w:noProof/>
        </w:rPr>
        <w:footnoteReference w:id="87"/>
      </w:r>
      <w:r>
        <w:rPr>
          <w:noProof/>
          <w:vertAlign w:val="superscript"/>
        </w:rPr>
        <w:t>,</w:t>
      </w:r>
      <w:r>
        <w:rPr>
          <w:rStyle w:val="ae"/>
          <w:noProof/>
        </w:rPr>
        <w:footnoteReference w:id="88"/>
      </w:r>
      <w:r>
        <w:rPr>
          <w:noProof/>
        </w:rPr>
        <w:t>.</w:t>
      </w:r>
    </w:p>
    <w:p w:rsidR="00EE1CB7" w:rsidRDefault="0034634B">
      <w:pPr>
        <w:rPr>
          <w:b/>
          <w:bCs/>
          <w:noProof/>
          <w:color w:val="1F497D" w:themeColor="text2"/>
        </w:rPr>
      </w:pPr>
      <w:r>
        <w:rPr>
          <w:b/>
          <w:noProof/>
          <w:color w:val="1F497D" w:themeColor="text2"/>
        </w:rPr>
        <w:t>Κυκλοφοριακή συμφόρηση και αστική κινητικότητα</w:t>
      </w:r>
    </w:p>
    <w:p w:rsidR="00EE1CB7" w:rsidRDefault="0034634B">
      <w:pPr>
        <w:rPr>
          <w:noProof/>
        </w:rPr>
      </w:pPr>
      <w:r>
        <w:rPr>
          <w:noProof/>
        </w:rPr>
        <w:t>Πολλά από τα θέματα που εξετάζονται στην παρούσα έκθεση σχετίζονται ως έναν βαθμό με τον κυκλοφοριακό φόρτο και την κυκλοφοριακή συμφόρηση, ιδίως η ποιότητα του αέρα και ο θόρυβος.</w:t>
      </w:r>
    </w:p>
    <w:p w:rsidR="00EE1CB7" w:rsidRDefault="0034634B">
      <w:pPr>
        <w:rPr>
          <w:noProof/>
          <w:color w:val="000000" w:themeColor="text1"/>
        </w:rPr>
      </w:pPr>
      <w:r>
        <w:rPr>
          <w:noProof/>
        </w:rPr>
        <w:t>Ο συνολικός αριθμός οδικών οχημάτων στην Ελλάδα αυξήθηκε, αγγίζοντας τα 5,16 εκατ. το 2016, σε ελαφρά αλλά σταθερή αύξηση από το 2013</w:t>
      </w:r>
      <w:r>
        <w:rPr>
          <w:rStyle w:val="ae"/>
          <w:rFonts w:ascii="Calibri,Times New Roman" w:hAnsi="Calibri,Times New Roman"/>
          <w:noProof/>
          <w:color w:val="000000"/>
        </w:rPr>
        <w:footnoteReference w:id="89"/>
      </w:r>
      <w:r>
        <w:rPr>
          <w:noProof/>
        </w:rPr>
        <w:t xml:space="preserve">. Ο αριθμός των ωρών που δαπανώνται ετησίως από τον μέσο οδηγό στην Ελλάδα σε κυκλοφοριακή συμφόρηση μειώθηκε από 37,63 το 2014 σε 35,63 το 2016, αριθμός που </w:t>
      </w:r>
      <w:r>
        <w:rPr>
          <w:noProof/>
        </w:rPr>
        <w:lastRenderedPageBreak/>
        <w:t>παραμένει από τους υψηλότερους στην ΕΕ (ο τέταρτος υψηλότερος)</w:t>
      </w:r>
      <w:r>
        <w:rPr>
          <w:noProof/>
          <w:vertAlign w:val="superscript"/>
        </w:rPr>
        <w:footnoteReference w:id="90"/>
      </w:r>
      <w:r>
        <w:rPr>
          <w:noProof/>
        </w:rPr>
        <w:t xml:space="preserve">. </w:t>
      </w:r>
    </w:p>
    <w:p w:rsidR="00EE1CB7" w:rsidRDefault="0034634B">
      <w:pPr>
        <w:rPr>
          <w:noProof/>
        </w:rPr>
      </w:pPr>
      <w:r>
        <w:rPr>
          <w:noProof/>
        </w:rPr>
        <w:t>Η Αθήνα και η Θεσσαλονίκη είναι οι μοναδικές ελληνικές πόλεις με υψηλά επίπεδα κυκλοφοριακής συμφόρησης, που κυμαίνονται μεταξύ 25 και 50 %. Σε σύγκριση με άλλες πόλεις της ΕΕ, η Αθήνα είναι η 18</w:t>
      </w:r>
      <w:r>
        <w:rPr>
          <w:noProof/>
          <w:vertAlign w:val="superscript"/>
        </w:rPr>
        <w:t>η</w:t>
      </w:r>
      <w:r>
        <w:rPr>
          <w:noProof/>
        </w:rPr>
        <w:t xml:space="preserve"> πόλη με τα υψηλότερα επίπεδα συμφόρησης (από τις 215 πόλεις που είναι στον ίδιο κατάλογο), ενώ η Θεσσαλονίκη βρίσκεται στην 94</w:t>
      </w:r>
      <w:r>
        <w:rPr>
          <w:noProof/>
          <w:vertAlign w:val="superscript"/>
        </w:rPr>
        <w:t>η</w:t>
      </w:r>
      <w:r>
        <w:rPr>
          <w:noProof/>
        </w:rPr>
        <w:t xml:space="preserve"> θέση</w:t>
      </w:r>
      <w:r>
        <w:rPr>
          <w:rStyle w:val="ae"/>
          <w:rFonts w:ascii="Calibri,Times New Roman" w:hAnsi="Calibri,Times New Roman"/>
          <w:noProof/>
          <w:color w:val="000000"/>
        </w:rPr>
        <w:footnoteReference w:id="91"/>
      </w:r>
      <w:r>
        <w:rPr>
          <w:noProof/>
        </w:rPr>
        <w:t xml:space="preserve">. </w:t>
      </w:r>
    </w:p>
    <w:p w:rsidR="00EE1CB7" w:rsidRDefault="0034634B">
      <w:pPr>
        <w:rPr>
          <w:noProof/>
        </w:rPr>
      </w:pPr>
      <w:r>
        <w:rPr>
          <w:noProof/>
        </w:rPr>
        <w:t>Η κατανομή των επιβατικών χερσαίων μεταφορών ανά τρόπο μεταφοράς</w:t>
      </w:r>
      <w:r>
        <w:rPr>
          <w:rStyle w:val="ae"/>
          <w:rFonts w:eastAsiaTheme="minorEastAsia"/>
          <w:noProof/>
          <w:color w:val="000000"/>
        </w:rPr>
        <w:footnoteReference w:id="92"/>
      </w:r>
      <w:r>
        <w:rPr>
          <w:noProof/>
        </w:rPr>
        <w:t xml:space="preserve"> ήταν 81 % για τα αυτοκίνητα (ΕΕ-28: 83,4 %), 17 % για τα λεωφορεία και τα τρόλεϊ (ΕΕ-28: 9,1 %) και 2 % για τα τρένα (ΕΕ-28: 7,6 %)</w:t>
      </w:r>
      <w:r>
        <w:rPr>
          <w:rStyle w:val="ae"/>
          <w:rFonts w:eastAsiaTheme="minorEastAsia"/>
          <w:noProof/>
          <w:color w:val="000000"/>
        </w:rPr>
        <w:footnoteReference w:id="93"/>
      </w:r>
      <w:r>
        <w:rPr>
          <w:noProof/>
        </w:rPr>
        <w:t>. Επομένως, τα αυτοκίνητα εξακολουθούν να αποτελούν το προσφιλές μέσο μεταφοράς για μακρύτερες αποστάσεις, ενώ η Ελλάδα έχει ένα από τα υψηλότερα ποσοστά επιβατικών μεταφορών με λεωφορείο/τρόλεϊ στην ΕΕ.</w:t>
      </w:r>
    </w:p>
    <w:p w:rsidR="00EE1CB7" w:rsidRDefault="0034634B">
      <w:pPr>
        <w:rPr>
          <w:noProof/>
        </w:rPr>
      </w:pPr>
      <w:r>
        <w:rPr>
          <w:noProof/>
        </w:rPr>
        <w:t>Η ατμοσφαιρική ρύπανση αποτελεί εν μέρει συνέπεια της κυκλοφορίας οχημάτων. Επομένως, η ηλικία του στόλου οχημάτων έχει σημασία. Ο ελληνικός στόλος φορτηγών αποτελείται από οχήματα που είναι κυρίως παλαιά, σχετικά μικρά και έχουν αγοραστεί κυρίως για ιδιωτική χρήση</w:t>
      </w:r>
      <w:r>
        <w:rPr>
          <w:rStyle w:val="ae"/>
          <w:rFonts w:eastAsiaTheme="minorEastAsia"/>
          <w:noProof/>
          <w:color w:val="000000"/>
        </w:rPr>
        <w:footnoteReference w:id="94"/>
      </w:r>
      <w:r>
        <w:rPr>
          <w:noProof/>
        </w:rPr>
        <w:t>. Επίσης, υπάρχει υψηλό ποσοστό διαδρομών χωρίς φορτίο (33 % της διανυθείσας απόστασης σε σύγκριση με 22 % στην ΕΕ). Επιπλέον, τα μεγάλα φορτηγά (άνω των 25,5 τόνων) αντιστοιχούν μόλις στο 10 % του στόλου στην Ελλάδα, ενώ το ποσοστό παλαιών φορτηγών αυξήθηκε το 2015, αγγίζοντας το 30 % (από 18% το 2008)</w:t>
      </w:r>
      <w:r>
        <w:rPr>
          <w:rStyle w:val="ae"/>
          <w:rFonts w:eastAsiaTheme="minorEastAsia"/>
          <w:noProof/>
          <w:color w:val="000000"/>
        </w:rPr>
        <w:footnoteReference w:id="95"/>
      </w:r>
      <w:r>
        <w:rPr>
          <w:noProof/>
        </w:rPr>
        <w:t>.</w:t>
      </w:r>
    </w:p>
    <w:p w:rsidR="00EE1CB7" w:rsidRDefault="0034634B">
      <w:pPr>
        <w:widowControl w:val="0"/>
        <w:suppressAutoHyphens/>
        <w:rPr>
          <w:rFonts w:eastAsiaTheme="minorEastAsia"/>
          <w:noProof/>
          <w:color w:val="000000"/>
        </w:rPr>
      </w:pPr>
      <w:r>
        <w:rPr>
          <w:rFonts w:eastAsiaTheme="minorEastAsia"/>
          <w:noProof/>
          <w:color w:val="000000"/>
        </w:rPr>
        <w:t>Στη χώρα διεξάγονται αρκετά έργα για την αντιμετώπιση ζητημάτων που σχετίζονται με την κυκλοφοριακή συμφόρηση. Ορισμένα από αυτά έχουν ως στόχο τη βελτίωση των λιμενικών υποδομών, ενώ άλλα επιδιώκουν τη βελτίωση της οδικής κυκλοφοριακής συμφόρησης και την καλύτερη σύνδεση της Ελλάδας με τις γειτονικές χώρες</w:t>
      </w:r>
      <w:r>
        <w:rPr>
          <w:rStyle w:val="ae"/>
          <w:rFonts w:eastAsiaTheme="minorEastAsia"/>
          <w:noProof/>
          <w:color w:val="000000"/>
        </w:rPr>
        <w:footnoteReference w:id="96"/>
      </w:r>
      <w:r>
        <w:rPr>
          <w:rFonts w:eastAsiaTheme="minorEastAsia"/>
          <w:noProof/>
          <w:color w:val="000000"/>
        </w:rPr>
        <w:t xml:space="preserve">. </w:t>
      </w:r>
    </w:p>
    <w:p w:rsidR="00EE1CB7" w:rsidRDefault="0034634B">
      <w:pPr>
        <w:rPr>
          <w:noProof/>
        </w:rPr>
      </w:pPr>
      <w:r>
        <w:rPr>
          <w:noProof/>
        </w:rPr>
        <w:t>Όσον αφορά την αστική κινητικότητα, η Ελλάδα συμμετέχει σε διάφορα έργα, όπως η προαναφερθείσα πρωτοβουλία CIVITAS και το Κέντρο Αστικής Κινητικότητας Θεσσαλονίκης</w:t>
      </w:r>
      <w:r>
        <w:rPr>
          <w:rStyle w:val="ae"/>
          <w:rFonts w:eastAsiaTheme="minorEastAsia"/>
          <w:noProof/>
          <w:color w:val="000000"/>
        </w:rPr>
        <w:footnoteReference w:id="97"/>
      </w:r>
      <w:r>
        <w:rPr>
          <w:noProof/>
        </w:rPr>
        <w:t xml:space="preserve">. Το Πανεπιστήμιο </w:t>
      </w:r>
      <w:r>
        <w:rPr>
          <w:noProof/>
        </w:rPr>
        <w:t xml:space="preserve">Θεσσαλίας διοργάνωσε το 4ο Συνέδριο Βιώσιμης Αστικής Κινητικότητας στη Σκιάθο στις 24 και 25 Μαΐου 2018, κατά το οποίο έγινε διάδοση γνώσεων και ανταλλαγή ορθών πρακτικών μεταξύ των συμμετεχόντων στον τομέα των αστικών μεταφορών. </w:t>
      </w:r>
    </w:p>
    <w:bookmarkEnd w:id="92"/>
    <w:p w:rsidR="00EE1CB7" w:rsidRDefault="00EE1CB7">
      <w:pPr>
        <w:widowControl w:val="0"/>
        <w:rPr>
          <w:rFonts w:cs="Times New Roman"/>
          <w:noProof/>
        </w:rPr>
      </w:pPr>
    </w:p>
    <w:p w:rsidR="00EE1CB7" w:rsidRDefault="00EE1CB7">
      <w:pPr>
        <w:widowControl w:val="0"/>
        <w:rPr>
          <w:rFonts w:cs="Times New Roman"/>
          <w:noProof/>
        </w:rPr>
        <w:sectPr w:rsidR="00EE1CB7">
          <w:headerReference w:type="even" r:id="rId109"/>
          <w:headerReference w:type="default" r:id="rId110"/>
          <w:footerReference w:type="even" r:id="rId111"/>
          <w:footerReference w:type="default" r:id="rId112"/>
          <w:headerReference w:type="first" r:id="rId113"/>
          <w:footerReference w:type="first" r:id="rId114"/>
          <w:type w:val="continuous"/>
          <w:pgSz w:w="11906" w:h="16838"/>
          <w:pgMar w:top="1440" w:right="1080" w:bottom="1440" w:left="1080" w:header="708" w:footer="708" w:gutter="0"/>
          <w:cols w:num="2" w:space="360"/>
          <w:docGrid w:linePitch="360"/>
        </w:sectPr>
      </w:pPr>
    </w:p>
    <w:p w:rsidR="00EE1CB7" w:rsidRDefault="0034634B">
      <w:pPr>
        <w:widowControl w:val="0"/>
        <w:spacing w:after="0"/>
        <w:ind w:left="720"/>
        <w:jc w:val="center"/>
        <w:outlineLvl w:val="0"/>
        <w:rPr>
          <w:rFonts w:eastAsiaTheme="majorBidi" w:cstheme="majorBidi"/>
          <w:b/>
          <w:bCs/>
          <w:noProof/>
          <w:color w:val="1F497D" w:themeColor="text2"/>
          <w:sz w:val="32"/>
          <w:szCs w:val="32"/>
        </w:rPr>
      </w:pPr>
      <w:bookmarkStart w:id="97" w:name="_Toc433296176"/>
      <w:bookmarkStart w:id="98" w:name="_Toc525660384"/>
      <w:bookmarkStart w:id="99" w:name="_Toc546030"/>
      <w:bookmarkStart w:id="100" w:name="_Toc13470673"/>
      <w:r>
        <w:rPr>
          <w:rFonts w:eastAsiaTheme="majorBidi" w:cstheme="majorBidi"/>
          <w:b/>
          <w:noProof/>
          <w:color w:val="1F497D" w:themeColor="text2"/>
          <w:sz w:val="32"/>
        </w:rPr>
        <w:lastRenderedPageBreak/>
        <w:t xml:space="preserve">Μέρος II: </w:t>
      </w:r>
      <w:bookmarkEnd w:id="97"/>
      <w:r>
        <w:rPr>
          <w:rFonts w:eastAsiaTheme="majorBidi" w:cstheme="majorBidi"/>
          <w:b/>
          <w:noProof/>
          <w:color w:val="1F497D" w:themeColor="text2"/>
          <w:sz w:val="32"/>
        </w:rPr>
        <w:t>Πλαίσιο διευκόλυνσης: εργαλεία εφαρμογής</w:t>
      </w:r>
      <w:bookmarkEnd w:id="98"/>
      <w:bookmarkEnd w:id="99"/>
      <w:bookmarkEnd w:id="100"/>
    </w:p>
    <w:p w:rsidR="00EE1CB7" w:rsidRDefault="00EE1CB7">
      <w:pPr>
        <w:widowControl w:val="0"/>
        <w:rPr>
          <w:rFonts w:cs="Times New Roman"/>
          <w:noProof/>
        </w:rPr>
      </w:pPr>
    </w:p>
    <w:p w:rsidR="00EE1CB7" w:rsidRDefault="00EE1CB7">
      <w:pPr>
        <w:widowControl w:val="0"/>
        <w:rPr>
          <w:rFonts w:cs="Times New Roman"/>
          <w:noProof/>
        </w:rPr>
        <w:sectPr w:rsidR="00EE1CB7">
          <w:headerReference w:type="even" r:id="rId115"/>
          <w:headerReference w:type="default" r:id="rId116"/>
          <w:footerReference w:type="even" r:id="rId117"/>
          <w:footerReference w:type="default" r:id="rId118"/>
          <w:headerReference w:type="first" r:id="rId119"/>
          <w:footerReference w:type="first" r:id="rId120"/>
          <w:type w:val="continuous"/>
          <w:pgSz w:w="11906" w:h="16838"/>
          <w:pgMar w:top="1440" w:right="1080" w:bottom="1440" w:left="1080" w:header="708" w:footer="708" w:gutter="0"/>
          <w:cols w:space="566"/>
          <w:docGrid w:linePitch="360"/>
        </w:sectPr>
      </w:pPr>
    </w:p>
    <w:p w:rsidR="00EE1CB7" w:rsidRDefault="0034634B">
      <w:pPr>
        <w:widowControl w:val="0"/>
        <w:ind w:left="360"/>
        <w:jc w:val="center"/>
        <w:outlineLvl w:val="0"/>
        <w:rPr>
          <w:rFonts w:eastAsiaTheme="majorBidi" w:cstheme="majorBidi"/>
          <w:b/>
          <w:bCs/>
          <w:noProof/>
          <w:color w:val="1F497D" w:themeColor="text2"/>
          <w:sz w:val="32"/>
          <w:szCs w:val="32"/>
        </w:rPr>
      </w:pPr>
      <w:bookmarkStart w:id="101" w:name="_Toc525660385"/>
      <w:bookmarkStart w:id="102" w:name="_Toc546031"/>
      <w:bookmarkStart w:id="103" w:name="_Toc13470674"/>
      <w:r>
        <w:rPr>
          <w:rFonts w:eastAsiaTheme="majorBidi" w:cstheme="majorBidi"/>
          <w:b/>
          <w:noProof/>
          <w:color w:val="1F497D" w:themeColor="text2"/>
          <w:sz w:val="32"/>
        </w:rPr>
        <w:t>4. Πράσινη φορολογία, πράσινες δημόσιες συμβάσεις, περιβαλλοντική χρηματοδότηση και επενδύσεις</w:t>
      </w:r>
      <w:bookmarkEnd w:id="101"/>
      <w:bookmarkEnd w:id="102"/>
      <w:bookmarkEnd w:id="103"/>
    </w:p>
    <w:p w:rsidR="00EE1CB7" w:rsidRDefault="00EE1CB7">
      <w:pPr>
        <w:widowControl w:val="0"/>
        <w:spacing w:before="360"/>
        <w:outlineLvl w:val="1"/>
        <w:rPr>
          <w:rFonts w:cs="Times New Roman"/>
          <w:b/>
          <w:noProof/>
          <w:color w:val="1F497D" w:themeColor="text2"/>
          <w:sz w:val="24"/>
        </w:rPr>
        <w:sectPr w:rsidR="00EE1CB7">
          <w:headerReference w:type="even" r:id="rId121"/>
          <w:headerReference w:type="default" r:id="rId122"/>
          <w:footerReference w:type="even" r:id="rId123"/>
          <w:footerReference w:type="default" r:id="rId124"/>
          <w:headerReference w:type="first" r:id="rId125"/>
          <w:footerReference w:type="first" r:id="rId126"/>
          <w:type w:val="continuous"/>
          <w:pgSz w:w="11906" w:h="16838"/>
          <w:pgMar w:top="1440" w:right="1080" w:bottom="1440" w:left="1080" w:header="708" w:footer="708" w:gutter="0"/>
          <w:cols w:space="566"/>
          <w:docGrid w:linePitch="360"/>
        </w:sectPr>
      </w:pPr>
    </w:p>
    <w:p w:rsidR="00EE1CB7" w:rsidRDefault="0034634B">
      <w:pPr>
        <w:pStyle w:val="21"/>
        <w:rPr>
          <w:noProof/>
        </w:rPr>
      </w:pPr>
      <w:bookmarkStart w:id="104" w:name="_Toc508706661"/>
      <w:bookmarkStart w:id="105" w:name="_Toc509391853"/>
      <w:bookmarkStart w:id="106" w:name="_Toc525660386"/>
      <w:bookmarkStart w:id="107" w:name="_Toc546032"/>
      <w:bookmarkStart w:id="108" w:name="_Toc13470675"/>
      <w:bookmarkStart w:id="109" w:name="_Toc433798401"/>
      <w:r>
        <w:rPr>
          <w:noProof/>
        </w:rPr>
        <w:t>Πράσινη φορολογία και περιβαλλοντικά επιβλαβείς επιδοτήσεις</w:t>
      </w:r>
      <w:bookmarkEnd w:id="104"/>
      <w:bookmarkEnd w:id="105"/>
      <w:bookmarkEnd w:id="106"/>
      <w:bookmarkEnd w:id="107"/>
      <w:bookmarkEnd w:id="108"/>
    </w:p>
    <w:p w:rsidR="00EE1CB7" w:rsidRDefault="0034634B">
      <w:pPr>
        <w:widowControl w:val="0"/>
        <w:shd w:val="clear" w:color="auto" w:fill="4F81BD"/>
        <w:suppressAutoHyphens/>
        <w:spacing w:after="240"/>
        <w:rPr>
          <w:rFonts w:eastAsia="Calibri" w:cstheme="minorHAnsi"/>
          <w:noProof/>
          <w:color w:val="FFFFFF"/>
          <w:szCs w:val="20"/>
        </w:rPr>
      </w:pPr>
      <w:r>
        <w:rPr>
          <w:rFonts w:cstheme="minorHAnsi"/>
          <w:noProof/>
          <w:color w:val="FFFFFF"/>
        </w:rPr>
        <w:t>Τα οικονομικά κίνητρα, η φορολογία και άλλα οικονομικά μέσα αποτελούν αποτελεσματικούς και αποδοτικούς τρόπους επίτευξης των στόχων της περιβαλλοντικής πολιτικής. Το σχέδιο δράσης για την κυκλική οικονομία ενθαρρύνει τη χρήση τους. Οι περιβαλλοντικά επιβλαβείς επιδοτήσεις παρακολουθούνται στο πλαίσιο του Ευρωπαϊκού Εξαμήνου και της διαδικασίας διακυβέρνησης της Ενεργειακής Ένωσης.</w:t>
      </w:r>
    </w:p>
    <w:p w:rsidR="00EE1CB7" w:rsidRDefault="0034634B">
      <w:pPr>
        <w:rPr>
          <w:noProof/>
        </w:rPr>
      </w:pPr>
      <w:r>
        <w:rPr>
          <w:noProof/>
        </w:rPr>
        <w:t>Τα έσοδα της Ελλάδας από περιβαλλοντικούς φόρους εξακολουθούν να συγκαταλέγονται μεταξύ των υψηλότερων στην ΕΕ. Οι περιβαλλοντικοί φόροι αντιστοιχούσαν στο 3,97 % του ΑΕΠ το 2017 (μέσος όρος στην ΕΕ: 2,4 %) (βλ. διάγραμμα 20) και οι ενεργειακοί φόροι στο 3,18 % του ΑΕΠ (μέσος όρος στην ΕΕ: 1,84 %)</w:t>
      </w:r>
      <w:r>
        <w:rPr>
          <w:rStyle w:val="ae"/>
          <w:rFonts w:asciiTheme="minorEastAsia" w:eastAsiaTheme="minorEastAsia" w:hAnsiTheme="minorEastAsia" w:cstheme="minorEastAsia"/>
          <w:noProof/>
        </w:rPr>
        <w:footnoteReference w:id="98"/>
      </w:r>
      <w:r>
        <w:rPr>
          <w:noProof/>
        </w:rPr>
        <w:t>. Το ίδιο έτος τα έσοδα από περιβαλλοντικούς φόρους στην Ελλάδα ανήλθαν στο 9,5 % των συνολικών εσόδων από φόρους και εισφορές κοινωνικής ασφάλισης (μέσος όρος στην ΕΕ: 5,97 %).</w:t>
      </w:r>
    </w:p>
    <w:p w:rsidR="00EE1CB7" w:rsidRDefault="0034634B">
      <w:pPr>
        <w:rPr>
          <w:noProof/>
        </w:rPr>
      </w:pPr>
      <w:r>
        <w:rPr>
          <w:noProof/>
        </w:rPr>
        <w:t>Η φορολογική διάρθρωση της Ελλάδας οδηγεί σε σημαντικά χαμηλότερο ποσοστό εσόδων από τη φορολόγηση της εργασίας στα συνολικά φορολογικά έσοδα σε σχέση με τον μέσο όρο της ΕΕ. Τα έσοδα της Ελλάδας από τη φορολόγηση της εργασίας ήταν 39,5 % το 2016, ενώ η έμμεση φορολογική επιβάρυνση της εργασίας ανήλθε σε 41 %</w:t>
      </w:r>
      <w:r>
        <w:rPr>
          <w:rStyle w:val="ae"/>
          <w:noProof/>
        </w:rPr>
        <w:footnoteReference w:id="99"/>
      </w:r>
      <w:r>
        <w:rPr>
          <w:noProof/>
        </w:rPr>
        <w:t>. Οι φόροι κατανάλωσης παρέμειναν σχετικά υψηλοί (38 %, 11η θέση στην ΕΕ των 28), κάτι που υποδεικνύει ότι υπάρχει κάποια δυνατότητα μετατόπισης της φορολογίας από την εργασία στην κατανάλωση, ιδίως μέσω των περιβαλλοντικών φόρων.</w:t>
      </w:r>
    </w:p>
    <w:p w:rsidR="00EE1CB7" w:rsidRDefault="0034634B">
      <w:pPr>
        <w:rPr>
          <w:noProof/>
        </w:rPr>
      </w:pPr>
      <w:r>
        <w:rPr>
          <w:noProof/>
        </w:rPr>
        <w:t>Υπάρχουν παραδείγματα ορθών φορολογικών μέτρων για το περιβάλλον. Ωστόσο, η εφαρμογή της σχετικής νομοθεσίας περιορίζεται σε αρκετές περιπτώσεις. Για παράδειγμα, παρότι ο φόρος υγειονομικής ταφής έχει θεσπιστεί από τον Ιανουάριο του 2014, δεν είχε ακόμη εφαρμοστεί τον Ιανουάριο του 2018</w:t>
      </w:r>
      <w:r>
        <w:rPr>
          <w:rStyle w:val="ae"/>
          <w:rFonts w:asciiTheme="minorEastAsia" w:eastAsiaTheme="minorEastAsia" w:hAnsiTheme="minorEastAsia" w:cstheme="minorEastAsia"/>
          <w:noProof/>
        </w:rPr>
        <w:footnoteReference w:id="100"/>
      </w:r>
      <w:r>
        <w:rPr>
          <w:noProof/>
        </w:rPr>
        <w:t>.</w:t>
      </w:r>
    </w:p>
    <w:p w:rsidR="00EE1CB7" w:rsidRDefault="0034634B">
      <w:pPr>
        <w:rPr>
          <w:noProof/>
        </w:rPr>
      </w:pPr>
      <w:r>
        <w:rPr>
          <w:noProof/>
        </w:rPr>
        <w:t>Εντωμεταξύ, οι επιδοτήσεις για τα ορυκτά καύσιμα αυξήθηκαν σημαντικά κατά την τελευταία δεκαετία, κυρίως λόγω μιας σειράς κρατικών προγραμμάτων για τη στήριξη της οικιακής θέρμανσης και των ηλεκτρογεννητριών σε απομακρυσμένα νησιά. Στην Ελλάδα έχουν θεσπιστεί και άλλες επιδοτήσεις για χρήση ορυκτών καυσίμων, καθώς και αρκετές επιστροφές ειδικού φόρου κατανάλωσης για τη γεωργία, την εγχώρια ναυτιλία, την αλιεία, τα τουριστικά σκάφη και για τη χρήση άνθρακα και οπτάνθρακα</w:t>
      </w:r>
      <w:r>
        <w:rPr>
          <w:rStyle w:val="ae"/>
          <w:noProof/>
        </w:rPr>
        <w:footnoteReference w:id="101"/>
      </w:r>
      <w:r>
        <w:rPr>
          <w:noProof/>
        </w:rPr>
        <w:t>. Οι εν λόγω εξαιρέσεις ανήλθαν σε 260 εκατ. EUR το 2016 και οι μεταφορές πιστώσεων για επιδόματα ανήλθαν σε περισσότερα από 1,5 εκατ. EUR.</w:t>
      </w:r>
    </w:p>
    <w:tbl>
      <w:tblPr>
        <w:tblW w:w="4909" w:type="dxa"/>
        <w:tblLayout w:type="fixed"/>
        <w:tblLook w:val="0000" w:firstRow="0" w:lastRow="0" w:firstColumn="0" w:lastColumn="0" w:noHBand="0" w:noVBand="0"/>
      </w:tblPr>
      <w:tblGrid>
        <w:gridCol w:w="4909"/>
      </w:tblGrid>
      <w:tr w:rsidR="00EE1CB7">
        <w:tc>
          <w:tcPr>
            <w:tcW w:w="4909" w:type="dxa"/>
            <w:shd w:val="clear" w:color="auto" w:fill="auto"/>
          </w:tcPr>
          <w:p w:rsidR="00EE1CB7" w:rsidRDefault="0034634B">
            <w:pPr>
              <w:widowControl w:val="0"/>
              <w:suppressAutoHyphens/>
              <w:rPr>
                <w:rFonts w:eastAsiaTheme="minorEastAsia"/>
                <w:noProof/>
              </w:rPr>
            </w:pPr>
            <w:r>
              <w:rPr>
                <w:rFonts w:eastAsiaTheme="minorEastAsia"/>
                <w:b/>
                <w:noProof/>
                <w:color w:val="1F497D"/>
              </w:rPr>
              <w:t>Διάγραμμα 19: Έσοδα από περιβαλλοντικούς φόρους ως ποσοστό του ΑΕΠ (2017)</w:t>
            </w:r>
            <w:r>
              <w:rPr>
                <w:rStyle w:val="ae"/>
                <w:noProof/>
              </w:rPr>
              <w:footnoteReference w:id="102"/>
            </w:r>
          </w:p>
        </w:tc>
      </w:tr>
      <w:tr w:rsidR="00EE1CB7">
        <w:tc>
          <w:tcPr>
            <w:tcW w:w="4909" w:type="dxa"/>
            <w:shd w:val="clear" w:color="auto" w:fill="auto"/>
          </w:tcPr>
          <w:p w:rsidR="00EE1CB7" w:rsidRDefault="0034634B">
            <w:pPr>
              <w:widowControl w:val="0"/>
              <w:suppressAutoHyphens/>
              <w:jc w:val="center"/>
              <w:rPr>
                <w:rFonts w:eastAsiaTheme="minorEastAsia" w:cstheme="minorEastAsia"/>
                <w:noProof/>
                <w:highlight w:val="cyan"/>
              </w:rPr>
            </w:pPr>
            <w:r>
              <w:rPr>
                <w:rFonts w:eastAsiaTheme="minorEastAsia" w:cstheme="minorEastAsia"/>
                <w:noProof/>
                <w:lang w:bidi="ar-SA"/>
              </w:rPr>
              <w:drawing>
                <wp:inline distT="0" distB="0" distL="0" distR="0">
                  <wp:extent cx="2738765" cy="3619500"/>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40204" cy="3621402"/>
                          </a:xfrm>
                          <a:prstGeom prst="rect">
                            <a:avLst/>
                          </a:prstGeom>
                          <a:noFill/>
                          <a:ln>
                            <a:noFill/>
                          </a:ln>
                        </pic:spPr>
                      </pic:pic>
                    </a:graphicData>
                  </a:graphic>
                </wp:inline>
              </w:drawing>
            </w:r>
          </w:p>
        </w:tc>
      </w:tr>
    </w:tbl>
    <w:p w:rsidR="00EE1CB7" w:rsidRDefault="0034634B">
      <w:pPr>
        <w:rPr>
          <w:noProof/>
        </w:rPr>
      </w:pPr>
      <w:r>
        <w:rPr>
          <w:noProof/>
        </w:rPr>
        <w:lastRenderedPageBreak/>
        <w:t>Η Ελλάδα δεν έχει σημειώσει πρόοδο όσον αφορά τη μείωση της διαφοράς της τιμής ντίζελ/βενζίνης (διαφορά της τιμής του ντίζελ έναντι της τιμής της βενζίνης) από το 2005. Το 2016 παρατηρήθηκε αξιοσημείωτο χάσμα της τάξης του 101 % μεταξύ των φορολογικών συντελεστών βενζίνης και ντίζελ, ενώ το 2005 ήταν μόλις 21 %</w:t>
      </w:r>
      <w:r>
        <w:rPr>
          <w:rStyle w:val="ae"/>
          <w:noProof/>
        </w:rPr>
        <w:footnoteReference w:id="103"/>
      </w:r>
      <w:r>
        <w:rPr>
          <w:noProof/>
        </w:rPr>
        <w:t>. Οι φορολογικοί συντελεστές επί της βενζίνης και του ντίζελ το 2016 παρέμειναν παρεμφερείς με αυτούς του 2015 (0,67 EUR ανά λίτρο για τη βενζίνη και 0,33 EUR για το ντίζελ)</w:t>
      </w:r>
      <w:r>
        <w:rPr>
          <w:rStyle w:val="ae"/>
          <w:rFonts w:asciiTheme="minorEastAsia" w:eastAsiaTheme="minorEastAsia" w:hAnsiTheme="minorEastAsia" w:cstheme="minorEastAsia"/>
          <w:noProof/>
        </w:rPr>
        <w:footnoteReference w:id="104"/>
      </w:r>
      <w:r>
        <w:rPr>
          <w:noProof/>
        </w:rPr>
        <w:t>.</w:t>
      </w:r>
    </w:p>
    <w:p w:rsidR="00EE1CB7" w:rsidRDefault="0034634B">
      <w:pPr>
        <w:rPr>
          <w:noProof/>
        </w:rPr>
      </w:pPr>
      <w:r>
        <w:rPr>
          <w:noProof/>
        </w:rPr>
        <w:t>Η ευνοϊκή φορολογική μεταχείριση όσον αφορά τα εταιρικά αυτοκίνητα δεν αποτελεί πηγή ανησυχίας στην Ελλάδα</w:t>
      </w:r>
      <w:r>
        <w:rPr>
          <w:rStyle w:val="ae"/>
          <w:rFonts w:asciiTheme="minorEastAsia" w:eastAsiaTheme="minorEastAsia" w:hAnsiTheme="minorEastAsia" w:cstheme="minorEastAsia"/>
          <w:noProof/>
        </w:rPr>
        <w:footnoteReference w:id="105"/>
      </w:r>
      <w:r>
        <w:rPr>
          <w:noProof/>
        </w:rPr>
        <w:t xml:space="preserve"> και δεν θεσπίστηκαν σημαντικές φορολογικές αλλαγές το 2017</w:t>
      </w:r>
      <w:r>
        <w:rPr>
          <w:rStyle w:val="ae"/>
          <w:rFonts w:asciiTheme="minorEastAsia" w:eastAsiaTheme="minorEastAsia" w:hAnsiTheme="minorEastAsia" w:cstheme="minorEastAsia"/>
          <w:noProof/>
        </w:rPr>
        <w:footnoteReference w:id="106"/>
      </w:r>
      <w:r>
        <w:rPr>
          <w:noProof/>
        </w:rPr>
        <w:t>.</w:t>
      </w:r>
    </w:p>
    <w:p w:rsidR="00EE1CB7" w:rsidRDefault="0034634B">
      <w:pPr>
        <w:rPr>
          <w:noProof/>
        </w:rPr>
      </w:pPr>
      <w:r>
        <w:rPr>
          <w:noProof/>
        </w:rPr>
        <w:t>Στην Ελλάδα ισχύουν φόροι επί μηχανοκίνητων οχημάτων με βάση το διοξείδιο του άνθρακα. Το τέλος ταξινόμησης οχημάτων βασίζεται στις εκπομπές CO</w:t>
      </w:r>
      <w:r>
        <w:rPr>
          <w:noProof/>
          <w:vertAlign w:val="subscript"/>
        </w:rPr>
        <w:t>2</w:t>
      </w:r>
      <w:r>
        <w:rPr>
          <w:noProof/>
        </w:rPr>
        <w:t>, ενώ οι συντελεστές ποικίλλουν ανάλογα με τα επίπεδα ρύπανσης. Από το 2010, τα ετήσια τέλη κυκλοφορίας βασίζονται επίσης στις εκπομπές και τα αυτοκίνητα με εκπομπές χαμηλότερες των 90 g/km εξαιρούνται</w:t>
      </w:r>
      <w:r>
        <w:rPr>
          <w:rStyle w:val="ae"/>
          <w:rFonts w:asciiTheme="minorEastAsia" w:eastAsiaTheme="minorEastAsia" w:hAnsiTheme="minorEastAsia" w:cstheme="minorEastAsia"/>
          <w:noProof/>
        </w:rPr>
        <w:footnoteReference w:id="107"/>
      </w:r>
      <w:r>
        <w:rPr>
          <w:noProof/>
        </w:rPr>
        <w:t>.</w:t>
      </w:r>
    </w:p>
    <w:p w:rsidR="00EE1CB7" w:rsidRDefault="0034634B">
      <w:pPr>
        <w:rPr>
          <w:noProof/>
        </w:rPr>
      </w:pPr>
      <w:r>
        <w:rPr>
          <w:noProof/>
        </w:rPr>
        <w:t>Το 2016 ήταν συνήθης η παροχή κινήτρων για την ενθάρρυνση της αγοράς αυτοκινήτων με χαμηλότερες εκπομπές CO</w:t>
      </w:r>
      <w:r>
        <w:rPr>
          <w:noProof/>
          <w:vertAlign w:val="subscript"/>
        </w:rPr>
        <w:t>2</w:t>
      </w:r>
      <w:r>
        <w:rPr>
          <w:noProof/>
        </w:rPr>
        <w:t>. Τα εν λόγω κίνητρα συνδέονταν με τα ετήσια τέλη κυκλοφορίας, τα διόδια, την κυκλοφοριακή συμφόρηση και τις χρεώσεις για ζώνες χαμηλών εκπομπών, καθώς και με την αγορά καθαρότερων οχημάτων. Ωστόσο, κανένα από τα κίνητρα δεν συνδεόταν με την κατά προτεραιότητα χρήση δημόσιων υποδομών</w:t>
      </w:r>
      <w:r>
        <w:rPr>
          <w:rStyle w:val="ae"/>
          <w:rFonts w:asciiTheme="minorEastAsia" w:eastAsiaTheme="minorEastAsia" w:hAnsiTheme="minorEastAsia" w:cstheme="minorEastAsia"/>
          <w:noProof/>
        </w:rPr>
        <w:footnoteReference w:id="108"/>
      </w:r>
      <w:r>
        <w:rPr>
          <w:noProof/>
        </w:rPr>
        <w:t>. Τα καινούρια οχήματα που αγοράζονται στην Ελλάδα συγκαταλέγονται μεταξύ των πλέον φιλικών προς το περιβάλλον στην ΕΕ, με μέσες εκπομπές CO</w:t>
      </w:r>
      <w:r>
        <w:rPr>
          <w:noProof/>
          <w:vertAlign w:val="subscript"/>
        </w:rPr>
        <w:t>2</w:t>
      </w:r>
      <w:r>
        <w:rPr>
          <w:noProof/>
        </w:rPr>
        <w:t xml:space="preserve"> 106,3 γραμμάρια ανά χιλιόμετρο (μέσος όρος ΕΕ: 118 γραμμάρια το 2016)</w:t>
      </w:r>
      <w:r>
        <w:rPr>
          <w:rStyle w:val="ae"/>
          <w:rFonts w:asciiTheme="minorEastAsia" w:eastAsiaTheme="minorEastAsia" w:hAnsiTheme="minorEastAsia" w:cstheme="minorEastAsia"/>
          <w:noProof/>
        </w:rPr>
        <w:footnoteReference w:id="109"/>
      </w:r>
      <w:r>
        <w:rPr>
          <w:noProof/>
        </w:rPr>
        <w:t xml:space="preserve">. </w:t>
      </w:r>
    </w:p>
    <w:p w:rsidR="00EE1CB7" w:rsidRDefault="0034634B">
      <w:pPr>
        <w:rPr>
          <w:noProof/>
        </w:rPr>
      </w:pPr>
      <w:r>
        <w:rPr>
          <w:noProof/>
        </w:rPr>
        <w:t>Η χρήση εναλλακτικών καυσίμων σε καινούρια επιβατικά αυτοκίνητα που πωλήθηκαν στην Ελλάδα μειώθηκε τα τελευταία έτη. Το 2016 το ποσοστό καινούριων επιβατικών αυτοκινήτων που χρησιμοποιούσαν εναλλακτικά καύσιμα ήταν το μισό σε σχέση με αυτό του 2011</w:t>
      </w:r>
      <w:r>
        <w:rPr>
          <w:rStyle w:val="ae"/>
          <w:rFonts w:asciiTheme="minorEastAsia" w:eastAsiaTheme="minorEastAsia" w:hAnsiTheme="minorEastAsia" w:cstheme="minorEastAsia"/>
          <w:noProof/>
        </w:rPr>
        <w:footnoteReference w:id="110"/>
      </w:r>
      <w:r>
        <w:rPr>
          <w:noProof/>
        </w:rPr>
        <w:t>. Από τη θετική πλευρά, το μερίδιο ηλεκτρικών οχημάτων με συσσωρευτή αυξάνεται προοδευτικά από το 2013.</w:t>
      </w:r>
    </w:p>
    <w:p w:rsidR="00EE1CB7" w:rsidRDefault="0034634B">
      <w:pPr>
        <w:pStyle w:val="21"/>
        <w:rPr>
          <w:noProof/>
        </w:rPr>
      </w:pPr>
      <w:bookmarkStart w:id="110" w:name="_Toc454460691"/>
      <w:bookmarkStart w:id="111" w:name="_Toc454813123"/>
      <w:bookmarkStart w:id="112" w:name="_Toc509391854"/>
      <w:bookmarkStart w:id="113" w:name="_Toc525660387"/>
      <w:bookmarkStart w:id="114" w:name="_Toc546033"/>
      <w:bookmarkStart w:id="115" w:name="_Toc13470676"/>
      <w:bookmarkEnd w:id="110"/>
      <w:r>
        <w:rPr>
          <w:noProof/>
        </w:rPr>
        <w:t>Πράσινες δημόσιες συμβάσεις</w:t>
      </w:r>
      <w:bookmarkEnd w:id="111"/>
      <w:bookmarkEnd w:id="112"/>
      <w:bookmarkEnd w:id="113"/>
      <w:bookmarkEnd w:id="114"/>
      <w:bookmarkEnd w:id="115"/>
    </w:p>
    <w:p w:rsidR="00EE1CB7" w:rsidRDefault="0034634B">
      <w:pPr>
        <w:widowControl w:val="0"/>
        <w:shd w:val="clear" w:color="auto" w:fill="4F81BD"/>
        <w:spacing w:after="240"/>
        <w:rPr>
          <w:rFonts w:cstheme="minorHAnsi"/>
          <w:noProof/>
          <w:color w:val="FFFFFF" w:themeColor="background1"/>
          <w:szCs w:val="20"/>
        </w:rPr>
      </w:pPr>
      <w:r>
        <w:rPr>
          <w:rFonts w:cstheme="minorHAnsi"/>
          <w:noProof/>
          <w:color w:val="FFFFFF"/>
        </w:rPr>
        <w:t>Οι πολιτικές της ΕΕ για τις πράσινες δημόσιες συμβάσεις ενθαρρύνουν τα κράτη μέλη να λάβουν περαιτέρω μέτρα, προκειμένου να εφαρμόσουν τα κριτήρια για τις πράσινες συμβάσεις τουλάχιστον στο 50 % των δημόσιων προσκλήσεων υποβολής προσφορών.</w:t>
      </w:r>
      <w:r>
        <w:rPr>
          <w:noProof/>
        </w:rPr>
        <w:t xml:space="preserve"> </w:t>
      </w:r>
      <w:r>
        <w:rPr>
          <w:rFonts w:cstheme="minorHAnsi"/>
          <w:noProof/>
          <w:color w:val="FFFFFF"/>
        </w:rPr>
        <w:t>Η Ευρωπαϊκή Επιτροπή συμβάλλει στην αύξηση της χρήσης των δημόσιων συμβάσεων ως στρατηγικό εργαλείο για τη στήριξη της προστασίας του περιβάλλοντος.</w:t>
      </w:r>
    </w:p>
    <w:p w:rsidR="00EE1CB7" w:rsidRDefault="0034634B">
      <w:pPr>
        <w:rPr>
          <w:rFonts w:eastAsia="Times New Roman" w:cstheme="minorHAnsi"/>
          <w:noProof/>
        </w:rPr>
      </w:pPr>
      <w:r>
        <w:rPr>
          <w:noProof/>
        </w:rPr>
        <w:t>Η συνολική αξία των δημόσιων συμβάσεων στην ΕΕ ανέρχεται περίπου σε 1,8 τρισ. EUR (περίπου 14 % του ΑΕΠ). Σημαντικό μέρος αυτού του ποσού διατίθεται σε τομείς με υψηλό περιβαλλοντικό αντίκτυπο, όπως οι κατασκευές και οι μεταφορές. Ως εκ τούτου, οι πράσινες δημόσιες συμβάσεις (ΠΔΣ) μπορούν να συμβάλουν σημαντικά στη μείωση των αρνητικών επιπτώσεων των δημόσιων δαπανών για το περιβάλλον και να στηρίξουν βιώσιμες καινοτόμες επιχειρήσεις. Η Επιτροπή έχει προτείνει κριτήρια για τις ΠΔΣ της ΕΕ</w:t>
      </w:r>
      <w:r>
        <w:rPr>
          <w:rStyle w:val="ae"/>
          <w:noProof/>
        </w:rPr>
        <w:footnoteReference w:id="111"/>
      </w:r>
      <w:r>
        <w:rPr>
          <w:noProof/>
        </w:rPr>
        <w:t>.</w:t>
      </w:r>
    </w:p>
    <w:p w:rsidR="00EE1CB7" w:rsidRDefault="0034634B">
      <w:pPr>
        <w:rPr>
          <w:noProof/>
        </w:rPr>
      </w:pPr>
      <w:r>
        <w:rPr>
          <w:noProof/>
        </w:rPr>
        <w:t>Από μελέτη του Ευρωπαϊκού Κοινοβουλίου προκύπτει ότι το σχέδιο δράσης της Ελλάδας για τις ΠΔΣ υλοποιήθηκε ανεπαρκώς</w:t>
      </w:r>
      <w:r>
        <w:rPr>
          <w:rStyle w:val="ae"/>
          <w:noProof/>
        </w:rPr>
        <w:footnoteReference w:id="112"/>
      </w:r>
      <w:r>
        <w:rPr>
          <w:noProof/>
        </w:rPr>
        <w:t>.</w:t>
      </w:r>
    </w:p>
    <w:p w:rsidR="00EE1CB7" w:rsidRDefault="0034634B">
      <w:pPr>
        <w:rPr>
          <w:rFonts w:ascii="Times New Roman" w:eastAsia="Times New Roman" w:hAnsi="Times New Roman" w:cs="Times New Roman"/>
          <w:i/>
          <w:iCs/>
          <w:noProof/>
        </w:rPr>
      </w:pPr>
      <w:r>
        <w:rPr>
          <w:noProof/>
        </w:rPr>
        <w:t xml:space="preserve">Εντούτοις, ορισμένες πρωτοβουλίες διεξάγονται σε τοπικό επίπεδο. Ο Δήμος Αμαρουσίου αποτέλεσε τον πρώτο δήμο στην Ελλάδα που καταχωρίστηκε στο σύστημα EMAS το 2006· και στο ISO 14001:2004 το 2010. Επίσης, έλαβε το Εθνικό Βραβείο EMAS (2009) για την εφαρμογή πράσινων κριτηρίων στις πρακτικές προμηθειών που ακολουθεί. Τα κριτήρια των δημόσιων συμβάσεων τροποποιούνται από τον Δήμο για την </w:t>
      </w:r>
      <w:r>
        <w:rPr>
          <w:noProof/>
        </w:rPr>
        <w:lastRenderedPageBreak/>
        <w:t>προμήθεια φιλικών προς το περιβάλλον αγαθών και υπηρεσιών. Οι τροποποιήσεις βασίζονται στα αποτελέσματα τακτικών ερευνών αγοράς, οι οποίες διενεργούνται για να εντοπίζονται τα «πράσινα» προϊόντα που διατίθενται στην ελληνική αγορά· στη συνέχεια, τα στοιχεία χρησιμοποιούνται για την ανάπτυξη τεχνικών προδιαγραφών</w:t>
      </w:r>
      <w:r>
        <w:rPr>
          <w:rStyle w:val="ae"/>
          <w:rFonts w:eastAsiaTheme="minorEastAsia"/>
          <w:noProof/>
        </w:rPr>
        <w:footnoteReference w:id="113"/>
      </w:r>
      <w:r>
        <w:rPr>
          <w:noProof/>
        </w:rPr>
        <w:t>.</w:t>
      </w:r>
    </w:p>
    <w:p w:rsidR="00EE1CB7" w:rsidRDefault="0034634B">
      <w:pPr>
        <w:pStyle w:val="21"/>
        <w:rPr>
          <w:noProof/>
        </w:rPr>
      </w:pPr>
      <w:bookmarkStart w:id="116" w:name="_Toc509391855"/>
      <w:bookmarkStart w:id="117" w:name="_Toc525660388"/>
      <w:bookmarkStart w:id="118" w:name="_Toc546034"/>
      <w:bookmarkStart w:id="119" w:name="_Toc13470677"/>
      <w:r>
        <w:rPr>
          <w:noProof/>
        </w:rPr>
        <w:t>Περιβαλλοντική χρηματοδότηση και επενδύσεις</w:t>
      </w:r>
      <w:bookmarkEnd w:id="116"/>
      <w:bookmarkEnd w:id="117"/>
      <w:bookmarkEnd w:id="118"/>
      <w:bookmarkEnd w:id="119"/>
    </w:p>
    <w:p w:rsidR="00EE1CB7" w:rsidRDefault="0034634B">
      <w:pPr>
        <w:widowControl w:val="0"/>
        <w:shd w:val="clear" w:color="auto" w:fill="4F81BD" w:themeFill="accent1"/>
        <w:spacing w:after="240"/>
        <w:rPr>
          <w:rFonts w:eastAsiaTheme="minorEastAsia" w:cstheme="minorHAnsi"/>
          <w:noProof/>
          <w:color w:val="FFFFFF" w:themeColor="background1"/>
        </w:rPr>
      </w:pPr>
      <w:r>
        <w:rPr>
          <w:rFonts w:eastAsiaTheme="minorEastAsia" w:cstheme="minorHAnsi"/>
          <w:noProof/>
          <w:color w:val="FFFFFF" w:themeColor="background1"/>
        </w:rPr>
        <w:t>Σύμφωνα με τους κανόνες των Ευρωπαϊκών Διαρθρωτικών και Επενδυτικών Ταμείων (ΕΔΕΤ), τα κράτη μέλη πρέπει να προωθούν το περιβάλλον και το κλίμα στις χρηματοδοτικές στρατηγικές και στα προγράμματά τους για την οικονομική, κοινωνική και εδαφική συνοχή, την αγροτική ανάπτυξη και τη θαλάσσια πολιτική.</w:t>
      </w:r>
    </w:p>
    <w:p w:rsidR="00EE1CB7" w:rsidRDefault="0034634B">
      <w:pPr>
        <w:spacing w:before="240"/>
        <w:rPr>
          <w:noProof/>
        </w:rPr>
      </w:pPr>
      <w:r>
        <w:rPr>
          <w:noProof/>
        </w:rPr>
        <w:t>Η επίτευξη της βιωσιμότητας προϋποθέτει την κινητοποίηση δημόσιων και ιδιωτικών πηγών χρηματοδότησης</w:t>
      </w:r>
      <w:r>
        <w:rPr>
          <w:rFonts w:cstheme="minorHAnsi"/>
          <w:noProof/>
          <w:vertAlign w:val="superscript"/>
        </w:rPr>
        <w:footnoteReference w:id="114"/>
      </w:r>
      <w:r>
        <w:rPr>
          <w:noProof/>
        </w:rPr>
        <w:t>. Η χρήση των Ευρωπαϊκών Διαρθρωτικών και Επενδυτικών Ταμείων (ΕΔΕΤ)</w:t>
      </w:r>
      <w:r>
        <w:rPr>
          <w:noProof/>
          <w:vertAlign w:val="superscript"/>
        </w:rPr>
        <w:footnoteReference w:id="115"/>
      </w:r>
      <w:r>
        <w:rPr>
          <w:noProof/>
        </w:rPr>
        <w:t xml:space="preserve"> είναι ζωτικής σημασίας, προκειμένου οι χώρες να επιτύχουν τους περιβαλλοντικούς στόχους τους και να τους ενσωματώσουν σε άλλους τομείς πολιτικής. Άλλα μέσα, όπως το πρόγραμμα «Ορίζων 2020», το πρόγραμμα LIFE</w:t>
      </w:r>
      <w:r>
        <w:rPr>
          <w:rStyle w:val="ae"/>
          <w:noProof/>
        </w:rPr>
        <w:footnoteReference w:id="116"/>
      </w:r>
      <w:r>
        <w:rPr>
          <w:noProof/>
        </w:rPr>
        <w:t xml:space="preserve"> και το Ευρωπαϊκό Ταμείο Στρατηγικών Επενδύσεων (ΕΤΣΕ)</w:t>
      </w:r>
      <w:r>
        <w:rPr>
          <w:noProof/>
          <w:vertAlign w:val="superscript"/>
        </w:rPr>
        <w:footnoteReference w:id="117"/>
      </w:r>
      <w:r>
        <w:rPr>
          <w:noProof/>
        </w:rPr>
        <w:t>, μπορούν επίσης να στηρίξουν την εφαρμογή και τη διάδοση ορθών πρακτικών.</w:t>
      </w:r>
    </w:p>
    <w:p w:rsidR="00EE1CB7" w:rsidRDefault="0034634B">
      <w:pPr>
        <w:rPr>
          <w:b/>
          <w:bCs/>
          <w:noProof/>
          <w:color w:val="1F497D" w:themeColor="text2"/>
        </w:rPr>
      </w:pPr>
      <w:r>
        <w:rPr>
          <w:b/>
          <w:noProof/>
          <w:color w:val="1F497D" w:themeColor="text2"/>
        </w:rPr>
        <w:t>Ευρωπαϊκά Διαρθρωτικά και Επενδυτικά Ταμεία 2014-2020</w:t>
      </w:r>
    </w:p>
    <w:p w:rsidR="00EE1CB7" w:rsidRDefault="0034634B">
      <w:pPr>
        <w:rPr>
          <w:rFonts w:eastAsia="Calibri,Times New Roman" w:cs="Calibri,Times New Roman"/>
          <w:noProof/>
        </w:rPr>
      </w:pPr>
      <w:r>
        <w:rPr>
          <w:noProof/>
        </w:rPr>
        <w:t>Για την περίοδο 2014-2020, διατέθηκαν στην Ελλάδα 21,61 δισ. EUR από τα ΕΔΕΤ μέσω 20 εθνικών και περιφερειακών προγραμμάτων. Αυτό σημαίνει ότι η Ελλάδα, με την εθνική συνεισφορά της ύψους 4,6 δισ. EUR, έχει συνολικό προϋπολογισμό ύψους 24,98 δισ. EUR για επενδύσεις σε διάφορους τομείς, όπως τη δημιουργία θέσεων εργασίας και ανάπτυξης, την αύξηση της ανταγωνιστικότητας των ΜΜΕ, την προστασία του περιβάλλοντος, τη συμβολή στη μετάβαση σε οικονομία χαμηλών ανθρακούχων εκπομπών και τη βελτίωση των υποδομών στον τομέα των μεταφορών και της ενέργειας.</w:t>
      </w:r>
    </w:p>
    <w:tbl>
      <w:tblPr>
        <w:tblStyle w:val="TableGrid22"/>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EE1CB7">
        <w:trPr>
          <w:trHeight w:val="541"/>
          <w:jc w:val="right"/>
        </w:trPr>
        <w:tc>
          <w:tcPr>
            <w:tcW w:w="4909" w:type="dxa"/>
          </w:tcPr>
          <w:p w:rsidR="00EE1CB7" w:rsidRDefault="0034634B">
            <w:pPr>
              <w:widowControl w:val="0"/>
              <w:rPr>
                <w:rFonts w:ascii="Times New Roman" w:eastAsia="Times New Roman" w:hAnsi="Times New Roman" w:cs="Times New Roman"/>
                <w:noProof/>
                <w:color w:val="FF0000"/>
              </w:rPr>
            </w:pPr>
            <w:r>
              <w:rPr>
                <w:b/>
                <w:noProof/>
                <w:color w:val="1F497D" w:themeColor="text2"/>
              </w:rPr>
              <w:t>Διάγραμμα 20: ΕΔΕΤ 2014-2020 — Διάθεση ενωσιακών κεφαλαίων κατά τομέα, Ελλάδα (σε δισ. EUR)</w:t>
            </w:r>
            <w:r>
              <w:rPr>
                <w:rStyle w:val="ae"/>
                <w:noProof/>
              </w:rPr>
              <w:footnoteReference w:id="118"/>
            </w:r>
          </w:p>
        </w:tc>
      </w:tr>
      <w:tr w:rsidR="00EE1CB7">
        <w:trPr>
          <w:trHeight w:val="558"/>
          <w:jc w:val="right"/>
        </w:trPr>
        <w:tc>
          <w:tcPr>
            <w:tcW w:w="4909" w:type="dxa"/>
          </w:tcPr>
          <w:p w:rsidR="00EE1CB7" w:rsidRDefault="0034634B">
            <w:pPr>
              <w:widowControl w:val="0"/>
              <w:jc w:val="center"/>
              <w:rPr>
                <w:rFonts w:eastAsia="Times New Roman" w:cs="Times New Roman"/>
                <w:i/>
                <w:iCs/>
                <w:noProof/>
                <w:color w:val="FF0000"/>
              </w:rPr>
            </w:pPr>
            <w:r>
              <w:rPr>
                <w:rFonts w:eastAsia="Times New Roman" w:cs="Times New Roman"/>
                <w:i/>
                <w:iCs/>
                <w:noProof/>
                <w:color w:val="FF0000"/>
                <w:lang w:bidi="ar-SA"/>
              </w:rPr>
              <w:drawing>
                <wp:inline distT="0" distB="0" distL="0" distR="0">
                  <wp:extent cx="2978785" cy="26117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978785" cy="2611755"/>
                          </a:xfrm>
                          <a:prstGeom prst="rect">
                            <a:avLst/>
                          </a:prstGeom>
                          <a:noFill/>
                          <a:ln>
                            <a:noFill/>
                          </a:ln>
                        </pic:spPr>
                      </pic:pic>
                    </a:graphicData>
                  </a:graphic>
                </wp:inline>
              </w:drawing>
            </w:r>
          </w:p>
        </w:tc>
      </w:tr>
    </w:tbl>
    <w:p w:rsidR="00EE1CB7" w:rsidRDefault="0034634B">
      <w:pPr>
        <w:rPr>
          <w:noProof/>
        </w:rPr>
      </w:pPr>
      <w:r>
        <w:rPr>
          <w:b/>
          <w:noProof/>
          <w:color w:val="1F497D" w:themeColor="text2"/>
        </w:rPr>
        <w:t>Πολιτική συνοχής</w:t>
      </w:r>
    </w:p>
    <w:p w:rsidR="00EE1CB7" w:rsidRDefault="0034634B">
      <w:pPr>
        <w:widowControl w:val="0"/>
        <w:rPr>
          <w:rFonts w:eastAsia="Times New Roman" w:cs="Times New Roman"/>
          <w:noProof/>
        </w:rPr>
      </w:pPr>
      <w:r>
        <w:rPr>
          <w:noProof/>
        </w:rPr>
        <w:t>Την περίοδο 2014-2020, η Ελλάδα διαχειρίζεται 18 επιχειρησιακά προγράμματα στο πλαίσιο της πολιτικής της ΕΕ για τη συνοχή. Από αυτά, 13 περιφερειακά προγράμματα και δύο εθνικά προγράμματα λαμβάνουν χρηματοδότηση από το ΕΤΠΑ και το ΕΚΤ· ένα εθνικό πρόγραμμα λαμβάνει χρηματοδότηση από το ΕΤΠΑ και το ταμείο συνοχής· ένα εθνικό πρόγραμμα θα λάβει χρηματοδότηση από το ΕΚΤ· και ένα εθνικό πρόγραμμα τεχνικής βοήθειας θα λάβει χρηματοδότηση από το ΕΤΠΑ, το ΕΚΤ και το ταμείο συνοχής.</w:t>
      </w:r>
    </w:p>
    <w:p w:rsidR="00EE1CB7" w:rsidRDefault="0034634B">
      <w:pPr>
        <w:widowControl w:val="0"/>
        <w:rPr>
          <w:rFonts w:eastAsia="Times New Roman" w:cs="Times New Roman"/>
          <w:noProof/>
        </w:rPr>
      </w:pPr>
      <w:r>
        <w:rPr>
          <w:noProof/>
        </w:rPr>
        <w:t>Για την περίοδο 2014-2020, διατέθηκαν στην Ελλάδα 16,5 δισ. EUR (τρέχουσες τιμές) ως συνολική χρηματοδότηση για την πολιτική συνοχής.</w:t>
      </w:r>
    </w:p>
    <w:p w:rsidR="00EE1CB7" w:rsidRDefault="0034634B">
      <w:pPr>
        <w:rPr>
          <w:noProof/>
        </w:rPr>
      </w:pPr>
      <w:r>
        <w:rPr>
          <w:noProof/>
        </w:rPr>
        <w:t>Τα ενωσιακά κονδύλια αποτελούν βασικό στοιχείο για την ολοκληρωμένη προστασία του περιβάλλοντος στην ΕΕ</w:t>
      </w:r>
      <w:r>
        <w:rPr>
          <w:rStyle w:val="ae"/>
          <w:noProof/>
        </w:rPr>
        <w:footnoteReference w:id="119"/>
      </w:r>
      <w:r>
        <w:rPr>
          <w:noProof/>
        </w:rPr>
        <w:t>. Μία από τις επενδυτικές προτεραιότητες της Επιτροπής για την Ελλάδα την περίοδο 2014-2020 είναι η εξής: «προστασία του περιβάλλοντος – μετάβαση σε μια οικονομία φιλική στο περιβάλλον»</w:t>
      </w:r>
      <w:r>
        <w:rPr>
          <w:rStyle w:val="ae"/>
          <w:noProof/>
        </w:rPr>
        <w:footnoteReference w:id="120"/>
      </w:r>
      <w:r>
        <w:rPr>
          <w:noProof/>
        </w:rPr>
        <w:t>. Οι εν λόγω επενδύσεις θα συμβάλουν επίσης στη μετάβαση σε μια κυκλική οικονομία.</w:t>
      </w:r>
    </w:p>
    <w:p w:rsidR="00EE1CB7" w:rsidRDefault="0034634B">
      <w:pPr>
        <w:widowControl w:val="0"/>
        <w:rPr>
          <w:rFonts w:eastAsia="Times New Roman" w:cs="Times New Roman"/>
          <w:noProof/>
        </w:rPr>
      </w:pPr>
      <w:r>
        <w:rPr>
          <w:noProof/>
        </w:rPr>
        <w:lastRenderedPageBreak/>
        <w:t>Η καινοτομία και η οικονομία χαμηλών ανθρακούχων εκπομπών είναι βασικοί τομείς προς εξέταση κατά την εκτίμηση των περιβαλλοντικών δαπανών. Το ΕΤΠΑ και το ταμείο συνοχής διαθέτουν 1,9 δισ. EUR για την οικονομία χαμηλών ανθρακούχων εκπομπών, καθώς και 339 εκατ. EUR για την προσαρμογή στην κλιματική αλλαγή και 3 δισ. EUR για περιβαλλοντικά μέτρα</w:t>
      </w:r>
      <w:r>
        <w:rPr>
          <w:rStyle w:val="ae"/>
          <w:noProof/>
        </w:rPr>
        <w:footnoteReference w:id="121"/>
      </w:r>
      <w:r>
        <w:rPr>
          <w:noProof/>
        </w:rPr>
        <w:t>. Επιπλέον, περίπου 5 % του προϋπολογισμού του ΕΤΠΑ χρησιμοποιείται για βιώσιμη αστική ανάπτυξη.</w:t>
      </w:r>
    </w:p>
    <w:p w:rsidR="00EE1CB7" w:rsidRDefault="0034634B">
      <w:pPr>
        <w:widowControl w:val="0"/>
        <w:rPr>
          <w:rFonts w:eastAsia="Times New Roman" w:cs="Times New Roman"/>
          <w:noProof/>
        </w:rPr>
      </w:pPr>
      <w:r>
        <w:rPr>
          <w:noProof/>
        </w:rPr>
        <w:t>Το ΕΤΠΑ παρέχει στήριξη σε έργα όπως η επέκταση του δικτύου μετρό της Αθήνας, το οποίο μετέβαλε την εικόνα των δημόσιων συγκοινωνιών στην πρωτεύουσα. Η επέκταση του μετρό οδήγησε σε περιορισμό της κυκλοφοριακής συμφόρησης και μείωση των εκπομπών από τις μεταφορές, καθώς και των τροχαίων ατυχημάτων. Επίσης, αναβάθμισε και έδωσε νέα πνοή στις γειτονιές πλησίον των νέων σταθμών του μετρό.</w:t>
      </w:r>
    </w:p>
    <w:p w:rsidR="00EE1CB7" w:rsidRDefault="0034634B">
      <w:pPr>
        <w:rPr>
          <w:noProof/>
        </w:rPr>
      </w:pPr>
      <w:r>
        <w:rPr>
          <w:b/>
          <w:noProof/>
          <w:color w:val="1F497D" w:themeColor="text2"/>
        </w:rPr>
        <w:t>Αγροτική ανάπτυξη</w:t>
      </w:r>
    </w:p>
    <w:p w:rsidR="00EE1CB7" w:rsidRDefault="0034634B">
      <w:pPr>
        <w:rPr>
          <w:noProof/>
        </w:rPr>
      </w:pPr>
      <w:r>
        <w:rPr>
          <w:noProof/>
        </w:rPr>
        <w:t>Σύμφωνα με τα πλέον πρόσφατα διαθέσιμα οικονομικά στοιχεία (που σχετίζονται με την περίοδο 2007-2013), η χρήση κονδυλίων αγροτικής ανάπτυξης στην Ελλάδα ήταν 92,9 %, ήτοι χαμηλότερη από τον μέσο όρο της ΕΕ (97,3 %)</w:t>
      </w:r>
      <w:r>
        <w:rPr>
          <w:noProof/>
          <w:vertAlign w:val="superscript"/>
        </w:rPr>
        <w:footnoteReference w:id="122"/>
      </w:r>
      <w:r>
        <w:rPr>
          <w:noProof/>
        </w:rPr>
        <w:t>.</w:t>
      </w:r>
    </w:p>
    <w:p w:rsidR="00EE1CB7" w:rsidRDefault="0034634B">
      <w:pPr>
        <w:rPr>
          <w:noProof/>
        </w:rPr>
      </w:pPr>
      <w:r>
        <w:rPr>
          <w:noProof/>
        </w:rPr>
        <w:t>Το ΕΓΤΑΑ διέθεσε 4,7 δισ. EUR στην Ελλάδα για την περίοδο 2014-2020.</w:t>
      </w:r>
    </w:p>
    <w:p w:rsidR="00EE1CB7" w:rsidRDefault="0034634B">
      <w:pPr>
        <w:rPr>
          <w:noProof/>
        </w:rPr>
      </w:pPr>
      <w:r>
        <w:rPr>
          <w:noProof/>
        </w:rPr>
        <w:t>Όσον αφορά την ενσωμάτωση περιβαλλοντικών παραμέτρων στην κοινή γεωργική πολιτική (ΚΓΠ), οι δύο βασικοί τομείς είναι: i) η διάθεση των κονδυλίων αγροτικής ανάπτυξης για τη χρηματοδότηση της οικολογικής διαχείρισης της γης και άλλων περιβαλλοντικών μέτρων, με παράλληλη αποφυγή της χρηματοδότησης μέτρων που θα μπορούσαν να προκαλέσουν βλάβη στο περιβάλλον· και ii) η διασφάλιση της αποτελεσματικής υλοποίησης του πρώτου πυλώνα της ΚΓΠ για την πολλαπλή συμμόρφωση και την ενίσχυση του οικολογικού προσανατολισμού του πρώτου πυλώνα.</w:t>
      </w:r>
    </w:p>
    <w:p w:rsidR="00EE1CB7" w:rsidRDefault="0034634B">
      <w:pPr>
        <w:rPr>
          <w:noProof/>
        </w:rPr>
      </w:pPr>
      <w:r>
        <w:rPr>
          <w:noProof/>
        </w:rPr>
        <w:t>Όσον αφορά τον πυλώνα 1 της ΚΓΠ, το 30 % του εθνικού άμεσου κονδυλίου διατίθεται για την ενίσχυση του οικολογικού προσανατολισμού. Το γεγονός ότι στην Ελλάδα επικρατούν οι μικρές εκμεταλλεύσεις και οι μόνιμες καλλιέργειες περιορίζει τον αντίκτυπο που θα μπορούσε να έχει η ενίσχυση του οικολογικού προσανατολισμού.</w:t>
      </w:r>
    </w:p>
    <w:p w:rsidR="00EE1CB7" w:rsidRDefault="0034634B">
      <w:pPr>
        <w:rPr>
          <w:noProof/>
        </w:rPr>
      </w:pPr>
      <w:r>
        <w:rPr>
          <w:noProof/>
        </w:rPr>
        <w:t xml:space="preserve">Η Ελλάδα χρησιμοποιεί περίπου 387 εκατ. EUR των πόρων από το ΕΓΤΑΑ για την εκπλήρωση των γεωργοπεριβαλλοντικών δεσμεύσεών της, και 600 εκατ. EUR για τη στήριξη της βιολογικής γεωργίας. </w:t>
      </w:r>
      <w:r>
        <w:rPr>
          <w:noProof/>
        </w:rPr>
        <w:t>Ωστόσο, πολλά ελληνικά περιβαλλοντικά μέτρα παραμένουν κοντά στη γραμμή βάσης.</w:t>
      </w:r>
    </w:p>
    <w:p w:rsidR="00EE1CB7" w:rsidRDefault="0034634B">
      <w:pPr>
        <w:rPr>
          <w:noProof/>
        </w:rPr>
      </w:pPr>
      <w:r>
        <w:rPr>
          <w:noProof/>
        </w:rPr>
        <w:t>Πρόσθετοι πόροι ύψους 7,5 εκατ. EUR χρησιμοποιούνται για την εκπλήρωση των υποχρεώσεων της χώρας στο πλαίσιο του οικείου σχεδίου διαχείρισης του δικτύου Natura 2000. Η Ελλάδα θα πρέπει επίσης να αξιοποιήσει με τον καλύτερο δυνατό τρόπο τα κονδύλια αγροτικής ανάπτυξης για την αποτροπή των δασικών πυρκαγιών και την αποκατάσταση της ζημίας που προκαλούν.</w:t>
      </w:r>
    </w:p>
    <w:p w:rsidR="00EE1CB7" w:rsidRDefault="0034634B">
      <w:pPr>
        <w:widowControl w:val="0"/>
        <w:rPr>
          <w:rFonts w:eastAsia="Times New Roman" w:cs="Times New Roman"/>
          <w:noProof/>
        </w:rPr>
      </w:pPr>
      <w:r>
        <w:rPr>
          <w:noProof/>
        </w:rPr>
        <w:t>Στο πρόγραμμα αγροτικής ανάπτυξης (ΠΑΑ) της Ελλάδας εκτίθενται οι προτεραιότητες για την αξιοποίηση της χρηματοδότησης ύψους 5,7 δισ. EUR που είναι διαθέσιμη για την περίοδο 2014-2020. Αυτή η χρηματοδότηση περιλαμβάνει πόρους ύψους 4,7 δισ. EUR από το ΕΓΤΑΑ και εθνική συγχρηματοδότηση ύψους 1 δισ. EUR</w:t>
      </w:r>
      <w:r>
        <w:rPr>
          <w:rStyle w:val="ae"/>
          <w:noProof/>
        </w:rPr>
        <w:footnoteReference w:id="123"/>
      </w:r>
      <w:r>
        <w:rPr>
          <w:noProof/>
        </w:rPr>
        <w:t>.</w:t>
      </w:r>
    </w:p>
    <w:p w:rsidR="00EE1CB7" w:rsidRDefault="0034634B">
      <w:pPr>
        <w:widowControl w:val="0"/>
        <w:rPr>
          <w:rFonts w:eastAsia="Times New Roman" w:cs="Times New Roman"/>
          <w:noProof/>
        </w:rPr>
      </w:pPr>
      <w:r>
        <w:rPr>
          <w:noProof/>
        </w:rPr>
        <w:t>Ένας βασικός τομέας εστίασης του ΠΑΑ της Ελλάδας είναι η διατήρηση και ενίσχυση των οικοσυστημάτων. Από τους διαθέσιμους πόρους, το 19,20 % θα δαπανηθούν για τη διατήρηση της βιοποικιλότητας της γεωργικής γης, το 18,72 % για τη βελτίωση της διαχείρισης των υδάτων και το 25,38 % για τη βελτίωση της διαχείρισης του εδάφους και/ή την πρόληψη της διάβρωσης του εδάφους.</w:t>
      </w:r>
    </w:p>
    <w:p w:rsidR="00EE1CB7" w:rsidRDefault="0034634B">
      <w:pPr>
        <w:rPr>
          <w:rFonts w:eastAsia="Calibri,Times New Roman" w:cs="Calibri,Times New Roman"/>
          <w:noProof/>
        </w:rPr>
      </w:pPr>
      <w:r>
        <w:rPr>
          <w:noProof/>
        </w:rPr>
        <w:t>Ο προϋπολογισμός για τις άμεσες ενισχύσεις για την περίοδο 2015-2020 ανέρχεται σε 14,9 δισ. EUR, εκ των οποίων το 30 % συνδέεται με πρακτικές ενίσχυσης του οικολογικού προσανατολισμού που έχουν περιβαλλοντικό όφελος</w:t>
      </w:r>
      <w:r>
        <w:rPr>
          <w:rStyle w:val="ae"/>
          <w:noProof/>
        </w:rPr>
        <w:footnoteReference w:id="124"/>
      </w:r>
      <w:r>
        <w:rPr>
          <w:noProof/>
        </w:rPr>
        <w:t>.</w:t>
      </w:r>
    </w:p>
    <w:p w:rsidR="00EE1CB7" w:rsidRDefault="0034634B">
      <w:pPr>
        <w:rPr>
          <w:b/>
          <w:bCs/>
          <w:noProof/>
          <w:color w:val="1F497D" w:themeColor="text2"/>
        </w:rPr>
      </w:pPr>
      <w:r>
        <w:rPr>
          <w:b/>
          <w:noProof/>
          <w:color w:val="1F497D" w:themeColor="text2"/>
        </w:rPr>
        <w:t>Ευρωπαϊκό Ταμείο Θάλασσας και Αλιείας</w:t>
      </w:r>
    </w:p>
    <w:p w:rsidR="00EE1CB7" w:rsidRDefault="0034634B">
      <w:pPr>
        <w:rPr>
          <w:rFonts w:eastAsia="Times New Roman" w:cs="Times New Roman"/>
          <w:noProof/>
        </w:rPr>
      </w:pPr>
      <w:r>
        <w:rPr>
          <w:noProof/>
        </w:rPr>
        <w:t xml:space="preserve">Η Ελλάδα λαμβάνει περίπου 523 εκατ. EUR σε συγχρηματοδότηση για τον τομέα θάλασσας και αλιείας, συμπεριλαμβανομένης συνεισφοράς της ΕΕ ύψους 388 εκατ. EUR. Αυτό συνέβαλε στη χρηματοδότηση των μέτρων βιώσιμης αλιείας (προτεραιότητα 1 του επιχειρησιακού προγράμματος) και βιώσιμης υδατοκαλλιέργειας (προτεραιότητα 2). Στο πλαίσιο της προτεραιότητας 1, κεφάλαια ύψους 186,2 εκατ. EUR (35,57 % του συνολικού κονδυλίου του επιχειρησιακού προγράμματος) έχουν ως στόχο να καταστήσουν τον ελληνικό τομέα αλιείας βιώσιμο και διατηρήσιμο και να παρέχουν προστασία στους αλιευτικούς και θαλάσσιους πόρους. Στο πλαίσιο της προτεραιότητας 2, κεφάλαια ύψους 89,7 εκατ. EUR (17,15 % του κονδυλίου) έχουν ως στόχο τη δημιουργία περιβαλλοντικά βιώσιμης, αποδοτικής ως προς τη χρήση των πόρων, καινοτόμου, </w:t>
      </w:r>
      <w:r>
        <w:rPr>
          <w:noProof/>
        </w:rPr>
        <w:lastRenderedPageBreak/>
        <w:t>ανταγωνιστικής και βασιζόμενης στη γνώση υδατοκαλλιέργειας</w:t>
      </w:r>
      <w:r>
        <w:rPr>
          <w:rStyle w:val="ae"/>
          <w:noProof/>
        </w:rPr>
        <w:footnoteReference w:id="125"/>
      </w:r>
      <w:r>
        <w:rPr>
          <w:noProof/>
        </w:rPr>
        <w:t>.</w:t>
      </w:r>
    </w:p>
    <w:p w:rsidR="00EE1CB7" w:rsidRDefault="0034634B">
      <w:pPr>
        <w:rPr>
          <w:b/>
          <w:bCs/>
          <w:noProof/>
          <w:color w:val="1F497D" w:themeColor="text2"/>
        </w:rPr>
      </w:pPr>
      <w:r>
        <w:rPr>
          <w:b/>
          <w:noProof/>
          <w:color w:val="1F497D" w:themeColor="text2"/>
        </w:rPr>
        <w:t>Μηχανισμός «Συνδέοντας την Ευρώπη»</w:t>
      </w:r>
    </w:p>
    <w:p w:rsidR="00EE1CB7" w:rsidRDefault="0034634B">
      <w:pPr>
        <w:rPr>
          <w:noProof/>
        </w:rPr>
      </w:pPr>
      <w:r>
        <w:rPr>
          <w:noProof/>
        </w:rPr>
        <w:t>Ο μηχανισμός «Συνδέοντας την Ευρώπη» (ΜΣΕ) αποτελεί βασικό ενωσιακό χρηματοδοτικό μέσο που αναπτύχθηκε ειδικά για τον προσανατολισμό των επενδύσεων στις ευρωπαϊκές υποδομές μεταφορών και ενέργειας και τις ευρωπαϊκές ψηφιακές υποδομές. Στόχοι του είναι η αντιμετώπιση των εντοπισθέντων ελλειπόντων κρίκων και σημείων συμφόρησης και η προώθηση της βιωσιμότητας.</w:t>
      </w:r>
    </w:p>
    <w:p w:rsidR="00EE1CB7" w:rsidRDefault="0034634B">
      <w:pPr>
        <w:rPr>
          <w:i/>
          <w:iCs/>
          <w:noProof/>
        </w:rPr>
      </w:pPr>
      <w:r>
        <w:rPr>
          <w:noProof/>
        </w:rPr>
        <w:t>Στην Ελλάδα, ένα έργο που χρηματοδοτείται από τον ΜΣΕ είναι η δράση «SuperGreen», η οποία δημιουργεί καινοτόμα και εμπορικά τεχνολογικά συστήματα που αυξάνουν τη χρήση εναλλακτικών καυσίμων στον ελληνικό ναυτιλιακό κλάδο. Ο ΜΣΕ χρηματοδοτεί το 20 % του κόστους του έργου, που αντιστοιχεί σε 19,7 εκατ. EUR</w:t>
      </w:r>
      <w:r>
        <w:rPr>
          <w:rStyle w:val="ae"/>
          <w:noProof/>
        </w:rPr>
        <w:footnoteReference w:id="126"/>
      </w:r>
      <w:r>
        <w:rPr>
          <w:noProof/>
        </w:rPr>
        <w:t>.</w:t>
      </w:r>
    </w:p>
    <w:p w:rsidR="00EE1CB7" w:rsidRDefault="0034634B">
      <w:pPr>
        <w:rPr>
          <w:noProof/>
        </w:rPr>
      </w:pPr>
      <w:r>
        <w:rPr>
          <w:b/>
          <w:noProof/>
          <w:color w:val="1F497D" w:themeColor="text2"/>
        </w:rPr>
        <w:t>Ορίζων 2020</w:t>
      </w:r>
    </w:p>
    <w:p w:rsidR="00EE1CB7" w:rsidRDefault="0034634B">
      <w:pPr>
        <w:rPr>
          <w:rFonts w:eastAsiaTheme="minorEastAsia" w:cstheme="minorHAnsi"/>
          <w:noProof/>
        </w:rPr>
      </w:pPr>
      <w:r>
        <w:rPr>
          <w:noProof/>
        </w:rPr>
        <w:t>Η Ελλάδα επωφελείται από χρηματοδότηση στο πλαίσιο του προγράμματος «Ορίζων 2020» από την έναρξη του προγράμματος το 2014. Από τον Ιανουάριο του 2019, 815 συμμετέχοντες έχουν λάβει συνολικό ποσό ύψους 224,6 εκατ. EUR για έργα από τα προγράμματα εργασιών για τις κοινωνικές προκλήσεις που αφορούν περιβαλλοντικά θέματα</w:t>
      </w:r>
      <w:r>
        <w:rPr>
          <w:rStyle w:val="ae"/>
          <w:rFonts w:eastAsiaTheme="minorEastAsia" w:cstheme="minorHAnsi"/>
          <w:noProof/>
        </w:rPr>
        <w:footnoteReference w:id="127"/>
      </w:r>
      <w:r>
        <w:rPr>
          <w:noProof/>
          <w:vertAlign w:val="superscript"/>
        </w:rPr>
        <w:t>,</w:t>
      </w:r>
      <w:r>
        <w:rPr>
          <w:noProof/>
        </w:rPr>
        <w:t> </w:t>
      </w:r>
      <w:r>
        <w:rPr>
          <w:rStyle w:val="ae"/>
          <w:rFonts w:eastAsiaTheme="minorEastAsia" w:cstheme="minorHAnsi"/>
          <w:noProof/>
        </w:rPr>
        <w:footnoteReference w:id="128"/>
      </w:r>
      <w:r>
        <w:rPr>
          <w:noProof/>
        </w:rPr>
        <w:t xml:space="preserve">. </w:t>
      </w:r>
    </w:p>
    <w:p w:rsidR="00EE1CB7" w:rsidRDefault="0034634B">
      <w:pPr>
        <w:rPr>
          <w:rFonts w:eastAsiaTheme="minorEastAsia" w:cstheme="minorHAnsi"/>
          <w:noProof/>
        </w:rPr>
      </w:pPr>
      <w:r>
        <w:rPr>
          <w:noProof/>
        </w:rPr>
        <w:t xml:space="preserve">Εκτός των προαναφερόμενων προγραμμάτων εργασιών, σε ολόκληρο το πρόγραμμα «Ορίζων 2020» υπάρχουν δαπάνες για το κλίμα και τη βιοποικιλότητα. Στην Ελλάδα, τα έργα που έγιναν αποδεκτά για χρηματοδότηση σε όλα τα προγράμματα εργασιών του προγράμματος «Ορίζων 2020» έως τον Δεκέμβριο του 2018 περιλάμβαναν 231 εκατ. EUR που προορίζονταν για δράση για το κλίμα (26,2 % της συνολικής συνεισφοράς του προγράμματος «Ορίζων 2020» στη χώρα) και 30 εκατ. EUR για δράσεις που σχετίζονται με τη </w:t>
      </w:r>
      <w:r>
        <w:rPr>
          <w:noProof/>
        </w:rPr>
        <w:t>βιοποικιλότητα (3,4 % της συνολικής συνεισφοράς του προγράμματος «Ορίζων 2020» στη χώρα)</w:t>
      </w:r>
      <w:r>
        <w:rPr>
          <w:rStyle w:val="ae"/>
          <w:rFonts w:eastAsiaTheme="minorEastAsia" w:cstheme="minorHAnsi"/>
          <w:noProof/>
        </w:rPr>
        <w:footnoteReference w:id="129"/>
      </w:r>
      <w:r>
        <w:rPr>
          <w:noProof/>
        </w:rPr>
        <w:t>.</w:t>
      </w:r>
    </w:p>
    <w:p w:rsidR="00EE1CB7" w:rsidRDefault="0034634B">
      <w:pPr>
        <w:rPr>
          <w:noProof/>
        </w:rPr>
      </w:pPr>
      <w:r>
        <w:rPr>
          <w:b/>
          <w:noProof/>
          <w:color w:val="1F497D" w:themeColor="text2"/>
        </w:rPr>
        <w:t>Πρόγραμμα LIFE</w:t>
      </w:r>
    </w:p>
    <w:p w:rsidR="00EE1CB7" w:rsidRDefault="0034634B">
      <w:pPr>
        <w:rPr>
          <w:noProof/>
        </w:rPr>
      </w:pPr>
      <w:r>
        <w:rPr>
          <w:noProof/>
        </w:rPr>
        <w:t>Από την έναρξή του το 1992, το πρόγραμμα LIFE έχει συγχρηματοδοτήσει συνολικά 240 έργα στην Ελλάδα με συνολικές επενδύσεις ύψους 327 εκατ. EUR. Από αυτό το ποσό, η ΕΕ παρείχε 175 εκατ. EUR. Από τα εν λόγω έργα, 153 επικεντρώνονται στην περιβαλλοντική καινοτομία (στο πλαίσιο της προτεραιότητας του LIFE «περιβάλλον και αποδοτικότητα των πόρων») και 70 στη διατήρηση της φύσης (στο πλαίσιο της προτεραιότητας «φύση και βιοποικιλότητα»).</w:t>
      </w:r>
    </w:p>
    <w:p w:rsidR="00EE1CB7" w:rsidRDefault="0034634B">
      <w:pPr>
        <w:rPr>
          <w:noProof/>
        </w:rPr>
      </w:pPr>
      <w:r>
        <w:rPr>
          <w:noProof/>
        </w:rPr>
        <w:t>Για την περίοδο 2014-2017, η ΕΕ έχει διαθέσει 24 εκατ. EUR σε ελληνικά έργα</w:t>
      </w:r>
      <w:r>
        <w:rPr>
          <w:rStyle w:val="ae"/>
          <w:rFonts w:ascii="Times New Roman" w:hAnsi="Times New Roman"/>
          <w:noProof/>
        </w:rPr>
        <w:footnoteReference w:id="130"/>
      </w:r>
      <w:r>
        <w:rPr>
          <w:noProof/>
        </w:rPr>
        <w:t>. Ένα από αυτά έχει τίτλο «ForestLife». Με αιτούμενη συνεισφορά της ΕΕ ύψους περίπου 1 εκατ. EUR</w:t>
      </w:r>
      <w:r>
        <w:rPr>
          <w:rStyle w:val="ae"/>
          <w:rFonts w:ascii="Times New Roman" w:hAnsi="Times New Roman"/>
          <w:noProof/>
        </w:rPr>
        <w:footnoteReference w:id="131"/>
      </w:r>
      <w:r>
        <w:rPr>
          <w:noProof/>
        </w:rPr>
        <w:t>, το εν λόγω έργο έχει ως στόχο την οικοδόμηση συνεργασίας, την ανάπτυξη ικανοτήτων και την ανταλλαγή γνώσεων για τα δάση του δικτύου Natura 2000 στην Ελλάδα. Άλλα παραδείγματα περιλαμβάνουν ένα έργο για την ανάπτυξη και επίδειξη εργαλείου υποστήριξης της πρόληψης αποβλήτων για την τοπική αυτοδιοίκηση (το εργαλείο «WASP») και ένα έργο για τη βελτίωση των προϋποθέσεων συνύπαρξης ανθρώπου-αρκούδας στον Νομό</w:t>
      </w:r>
      <w:r>
        <w:rPr>
          <w:rFonts w:ascii="Times New Roman" w:hAnsi="Times New Roman"/>
          <w:noProof/>
        </w:rPr>
        <w:t xml:space="preserve"> </w:t>
      </w:r>
      <w:r>
        <w:rPr>
          <w:noProof/>
        </w:rPr>
        <w:t>Καστοριάς (ΑΡΚΤΟΣ/ΚΑΣΤΟΡΙΑ)</w:t>
      </w:r>
      <w:r>
        <w:rPr>
          <w:rStyle w:val="ae"/>
          <w:noProof/>
        </w:rPr>
        <w:footnoteReference w:id="132"/>
      </w:r>
      <w:r>
        <w:rPr>
          <w:rFonts w:ascii="Times New Roman" w:hAnsi="Times New Roman"/>
          <w:noProof/>
        </w:rPr>
        <w:t>.</w:t>
      </w:r>
    </w:p>
    <w:p w:rsidR="00EE1CB7" w:rsidRDefault="0034634B">
      <w:pPr>
        <w:rPr>
          <w:noProof/>
        </w:rPr>
      </w:pPr>
      <w:r>
        <w:rPr>
          <w:b/>
          <w:noProof/>
          <w:color w:val="1F497D" w:themeColor="text2"/>
        </w:rPr>
        <w:t>Ευρωπαϊκή Τράπεζα Επενδύσεων</w:t>
      </w:r>
    </w:p>
    <w:p w:rsidR="00EE1CB7" w:rsidRDefault="0034634B">
      <w:pPr>
        <w:rPr>
          <w:rFonts w:cstheme="minorHAnsi"/>
          <w:noProof/>
        </w:rPr>
      </w:pPr>
      <w:r>
        <w:rPr>
          <w:noProof/>
        </w:rPr>
        <w:t>Την περίοδο 2013-2017, η χρηματοδότηση της Ευρωπαϊκής Τράπεζας Επενδύσεων (ΕΤΕπ) στην Ελλάδα ανήλθε σε 7,869 δισ. EUR. Από αυτό το ποσό, 72,7 εκατ. EUR διατέθηκαν για έργα διαχείρισης των αποβλήτων και 95,5 εκατ. EUR για έργα ύδρευσης και αποχέτευσης</w:t>
      </w:r>
      <w:r>
        <w:rPr>
          <w:rStyle w:val="ae"/>
          <w:noProof/>
        </w:rPr>
        <w:footnoteReference w:id="133"/>
      </w:r>
      <w:r>
        <w:rPr>
          <w:noProof/>
        </w:rPr>
        <w:t>. Μόνο το 2018, ο όμιλος ΕΤΕπ (η Ευρωπαϊκή Τράπεζα Επενδύσεων και το Ευρωπαϊκό Ταμείο Επενδύσεων) δάνεισαν σε ελληνικές επιχειρήσεις και κρατικούς φορείς 1,87 δισ. EUR, όπως φαίνεται στο διάγραμμα 22. Από αυτό το ποσό, 91,5 εκατ. EUR (5 %) διατέθηκαν για περιβαλλοντικά έργα</w:t>
      </w:r>
      <w:r>
        <w:rPr>
          <w:rStyle w:val="ae"/>
          <w:noProof/>
        </w:rPr>
        <w:footnoteReference w:id="134"/>
      </w:r>
      <w:r>
        <w:rPr>
          <w:noProof/>
        </w:rPr>
        <w:t>.</w:t>
      </w:r>
      <w:r>
        <w:rPr>
          <w:noProof/>
        </w:rPr>
        <w:br w:type="column"/>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7"/>
      </w:tblGrid>
      <w:tr w:rsidR="00EE1CB7">
        <w:tc>
          <w:tcPr>
            <w:tcW w:w="4398" w:type="dxa"/>
          </w:tcPr>
          <w:p w:rsidR="00EE1CB7" w:rsidRDefault="0034634B">
            <w:pPr>
              <w:rPr>
                <w:b/>
                <w:bCs/>
                <w:noProof/>
                <w:color w:val="1F497D" w:themeColor="text2"/>
              </w:rPr>
            </w:pPr>
            <w:r>
              <w:rPr>
                <w:rFonts w:asciiTheme="minorHAnsi" w:eastAsiaTheme="minorEastAsia" w:hAnsiTheme="minorHAnsi" w:cstheme="minorEastAsia"/>
                <w:b/>
                <w:noProof/>
                <w:color w:val="1F497D" w:themeColor="text2"/>
              </w:rPr>
              <w:t>Διάγραμμα 21: Δάνεια της ΕΤΕπ προς την Ελλάδα το 2018</w:t>
            </w:r>
            <w:r>
              <w:rPr>
                <w:rStyle w:val="ae"/>
                <w:noProof/>
              </w:rPr>
              <w:footnoteReference w:id="135"/>
            </w:r>
          </w:p>
        </w:tc>
      </w:tr>
      <w:tr w:rsidR="00EE1CB7">
        <w:tc>
          <w:tcPr>
            <w:tcW w:w="4398" w:type="dxa"/>
          </w:tcPr>
          <w:p w:rsidR="00EE1CB7" w:rsidRDefault="0034634B">
            <w:pPr>
              <w:rPr>
                <w:b/>
                <w:bCs/>
                <w:noProof/>
                <w:color w:val="1F497D" w:themeColor="text2"/>
              </w:rPr>
            </w:pPr>
            <w:r>
              <w:rPr>
                <w:b/>
                <w:bCs/>
                <w:noProof/>
                <w:color w:val="1F497D" w:themeColor="text2"/>
                <w:lang w:bidi="ar-SA"/>
              </w:rPr>
              <w:drawing>
                <wp:inline distT="0" distB="0" distL="0" distR="0">
                  <wp:extent cx="2978785" cy="1711325"/>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978785" cy="1711325"/>
                          </a:xfrm>
                          <a:prstGeom prst="rect">
                            <a:avLst/>
                          </a:prstGeom>
                          <a:noFill/>
                          <a:ln>
                            <a:noFill/>
                          </a:ln>
                        </pic:spPr>
                      </pic:pic>
                    </a:graphicData>
                  </a:graphic>
                </wp:inline>
              </w:drawing>
            </w:r>
          </w:p>
        </w:tc>
      </w:tr>
    </w:tbl>
    <w:p w:rsidR="00EE1CB7" w:rsidRDefault="0034634B">
      <w:pPr>
        <w:rPr>
          <w:noProof/>
        </w:rPr>
      </w:pPr>
      <w:r>
        <w:rPr>
          <w:b/>
          <w:noProof/>
          <w:color w:val="1F497D" w:themeColor="text2"/>
        </w:rPr>
        <w:t>Ευρωπαϊκό Ταμείο Στρατηγικών Επενδύσεων</w:t>
      </w:r>
    </w:p>
    <w:p w:rsidR="00EE1CB7" w:rsidRDefault="0034634B">
      <w:pPr>
        <w:rPr>
          <w:i/>
          <w:iCs/>
          <w:noProof/>
        </w:rPr>
      </w:pPr>
      <w:r>
        <w:rPr>
          <w:noProof/>
        </w:rPr>
        <w:t>Το ΕΤΣΕ είναι μια πρωτοβουλία που έχει ως στόχο να συμβάλει στην αντιμετώπιση του υφιστάμενου επενδυτικού χάσματος στην ΕΕ. Έως τον Ιανουάριο του 2019, το ΕΤΣΕ είχε κινητοποιήσει 2,7 δισ. EUR στην Ελλάδα. Οι δευτερογενείς επενδύσεις που ενεργοποιήθηκαν από τα εν λόγω κεφάλαια αναμένεται να ανέλθουν σε 11,1 δισ. EUR</w:t>
      </w:r>
      <w:r>
        <w:rPr>
          <w:rStyle w:val="ae"/>
          <w:noProof/>
        </w:rPr>
        <w:footnoteReference w:id="136"/>
      </w:r>
      <w:r>
        <w:rPr>
          <w:noProof/>
        </w:rPr>
        <w:t>.</w:t>
      </w:r>
    </w:p>
    <w:p w:rsidR="00EE1CB7" w:rsidRDefault="0034634B">
      <w:pPr>
        <w:rPr>
          <w:b/>
          <w:bCs/>
          <w:noProof/>
          <w:color w:val="1F497D" w:themeColor="text2"/>
        </w:rPr>
      </w:pPr>
      <w:r>
        <w:rPr>
          <w:b/>
          <w:noProof/>
          <w:color w:val="1F497D" w:themeColor="text2"/>
        </w:rPr>
        <w:t>Εθνική περιβαλλοντική χρηματοδότηση</w:t>
      </w:r>
    </w:p>
    <w:p w:rsidR="00EE1CB7" w:rsidRDefault="0034634B">
      <w:pPr>
        <w:rPr>
          <w:noProof/>
        </w:rPr>
      </w:pPr>
      <w:r>
        <w:rPr>
          <w:noProof/>
        </w:rPr>
        <w:t>Το 2016 η Ελλάδα δαπάνησε 2,752 δισ. EUR για την προστασία του περιβάλλοντος, που αντιστοιχεί σε αύξηση 8 % από το 2015</w:t>
      </w:r>
      <w:r>
        <w:rPr>
          <w:rStyle w:val="ae"/>
          <w:noProof/>
        </w:rPr>
        <w:footnoteReference w:id="137"/>
      </w:r>
      <w:r>
        <w:rPr>
          <w:noProof/>
        </w:rPr>
        <w:t>. Το 41 % του εν λόγω ποσού δαπανήθηκε για δραστηριότητες διαχείρισης των αποβλήτων (το ετήσιο μέσο ποσοστό περιβαλλοντικών δαπανών που διατίθεται για τη διαχείριση των αποβλήτων στην ΕΕ είναι 49,7 %). Για τη διαχείριση των λυμάτων διατέθηκε ποσό ύψους 256 εκατ. EUR (9 % του συνολικού ποσού) και για τη μείωση της ρύπανσης διατέθηκε ποσό ύψους 1,327 δισ. EUR (48 % του συνολικού ποσού). Από τις περιβαλλοντικές δαπάνες, 2 εκατ. EUR διατέθηκαν για την προστασία της βιοποικιλότητας και του τοπίου (0,1 % του συνολικού ποσού). Μεταξύ 2012 και 2016, η γενική κρατική χρηματοδότηση για την προστασία του περιβάλλοντος ανήλθε σε 13,1 δισ. EUR</w:t>
      </w:r>
      <w:r>
        <w:rPr>
          <w:rStyle w:val="ae"/>
          <w:noProof/>
        </w:rPr>
        <w:footnoteReference w:id="138"/>
      </w:r>
      <w:r>
        <w:rPr>
          <w:noProof/>
        </w:rPr>
        <w:t>.</w:t>
      </w:r>
    </w:p>
    <w:p w:rsidR="00EE1CB7" w:rsidRDefault="0034634B">
      <w:pPr>
        <w:rPr>
          <w:noProof/>
          <w:sz w:val="22"/>
        </w:rPr>
      </w:pPr>
      <w:r>
        <w:rPr>
          <w:noProof/>
        </w:rPr>
        <w:t xml:space="preserve">Όπως αναφέρεται σε διάφορα σημεία της έκθεσης, μία από τις βασικές προκλήσεις που αντιμετωπίζει η Ελλάδα είναι να διασφαλίζεται ότι η περιβαλλοντική χρηματοδότηση παραμένει σε επαρκές επίπεδο. Τα υφιστάμενα χρηματοδοτικά κενά σε τομείς όπως η προστασία της φύσης καθυστερούν την ορθή εφαρμογή του δικαίου και των πολιτικών της ΕΕ για το περιβάλλον. </w:t>
      </w:r>
      <w:r>
        <w:rPr>
          <w:noProof/>
        </w:rPr>
        <w:t>Επομένως, η εξασφάλιση οικονομικών πόρων για τη μείωση του κενού εφαρμογής θα πρέπει να θεωρείται προτεραιότητα για τη χώρα.</w:t>
      </w:r>
    </w:p>
    <w:p w:rsidR="00EE1CB7" w:rsidRDefault="0034634B">
      <w:pPr>
        <w:rPr>
          <w:rFonts w:eastAsiaTheme="minorEastAsia"/>
          <w:noProof/>
          <w:color w:val="1F497D" w:themeColor="text2"/>
          <w:sz w:val="22"/>
        </w:rPr>
      </w:pPr>
      <w:r>
        <w:rPr>
          <w:rFonts w:eastAsiaTheme="minorEastAsia"/>
          <w:noProof/>
          <w:color w:val="1F497D" w:themeColor="text2"/>
          <w:sz w:val="22"/>
        </w:rPr>
        <w:t>Δράση προτεραιότητας για το 2019</w:t>
      </w:r>
    </w:p>
    <w:p w:rsidR="00EE1CB7" w:rsidRDefault="0034634B">
      <w:pPr>
        <w:pStyle w:val="SuggActions"/>
        <w:rPr>
          <w:rFonts w:ascii="Times New Roman" w:eastAsia="Times New Roman" w:hAnsi="Times New Roman"/>
          <w:i/>
          <w:iCs/>
        </w:rPr>
      </w:pPr>
      <w:r>
        <w:t>Διασφάλιση της αποδοτικής χρήσης των διαθέσιμων ενωσιακών κονδυλίων για τη διατήρηση της φύσης, με βάση το πλαίσιο δράσεων προτεραιότητας (ΠΔΠ).</w:t>
      </w:r>
    </w:p>
    <w:p w:rsidR="00EE1CB7" w:rsidRDefault="0034634B">
      <w:pPr>
        <w:widowControl w:val="0"/>
        <w:rPr>
          <w:rFonts w:cs="Times New Roman"/>
          <w:noProof/>
          <w:szCs w:val="20"/>
        </w:rPr>
      </w:pPr>
      <w:r>
        <w:rPr>
          <w:noProof/>
        </w:rPr>
        <w:br w:type="page"/>
      </w:r>
    </w:p>
    <w:p w:rsidR="00EE1CB7" w:rsidRDefault="00EE1CB7">
      <w:pPr>
        <w:widowControl w:val="0"/>
        <w:rPr>
          <w:rFonts w:cs="Times New Roman"/>
          <w:noProof/>
          <w:szCs w:val="20"/>
        </w:rPr>
        <w:sectPr w:rsidR="00EE1CB7">
          <w:headerReference w:type="even" r:id="rId130"/>
          <w:headerReference w:type="default" r:id="rId131"/>
          <w:footerReference w:type="even" r:id="rId132"/>
          <w:footerReference w:type="default" r:id="rId133"/>
          <w:headerReference w:type="first" r:id="rId134"/>
          <w:footerReference w:type="first" r:id="rId135"/>
          <w:type w:val="continuous"/>
          <w:pgSz w:w="11906" w:h="16838"/>
          <w:pgMar w:top="1440" w:right="1080" w:bottom="1440" w:left="1080" w:header="708" w:footer="708" w:gutter="0"/>
          <w:cols w:num="2" w:space="360"/>
          <w:docGrid w:linePitch="360"/>
        </w:sectPr>
      </w:pPr>
    </w:p>
    <w:p w:rsidR="00EE1CB7" w:rsidRDefault="0034634B">
      <w:pPr>
        <w:widowControl w:val="0"/>
        <w:spacing w:after="0"/>
        <w:ind w:left="360"/>
        <w:jc w:val="center"/>
        <w:outlineLvl w:val="0"/>
        <w:rPr>
          <w:rFonts w:eastAsiaTheme="majorBidi" w:cstheme="majorBidi"/>
          <w:b/>
          <w:bCs/>
          <w:noProof/>
          <w:color w:val="1F497D" w:themeColor="text2"/>
          <w:sz w:val="32"/>
          <w:szCs w:val="32"/>
        </w:rPr>
      </w:pPr>
      <w:bookmarkStart w:id="120" w:name="_Toc525660389"/>
      <w:bookmarkStart w:id="121" w:name="_Toc546035"/>
      <w:bookmarkStart w:id="122" w:name="_Toc13470678"/>
      <w:r>
        <w:rPr>
          <w:rFonts w:eastAsiaTheme="majorBidi" w:cstheme="majorBidi"/>
          <w:b/>
          <w:noProof/>
          <w:color w:val="1F497D" w:themeColor="text2"/>
          <w:sz w:val="32"/>
        </w:rPr>
        <w:lastRenderedPageBreak/>
        <w:t>5</w:t>
      </w:r>
      <w:r>
        <w:rPr>
          <w:rFonts w:asciiTheme="majorBidi" w:eastAsiaTheme="majorBidi" w:hAnsiTheme="majorBidi" w:cstheme="majorBidi"/>
          <w:b/>
          <w:noProof/>
          <w:color w:val="1F497D" w:themeColor="text2"/>
          <w:sz w:val="32"/>
        </w:rPr>
        <w:t xml:space="preserve">. </w:t>
      </w:r>
      <w:r>
        <w:rPr>
          <w:rFonts w:eastAsiaTheme="majorBidi" w:cstheme="majorBidi"/>
          <w:b/>
          <w:noProof/>
          <w:color w:val="1F497D" w:themeColor="text2"/>
          <w:sz w:val="32"/>
        </w:rPr>
        <w:t>Ενίσχυση της περιβαλλοντικής διακυβέρνησης</w:t>
      </w:r>
      <w:bookmarkEnd w:id="120"/>
      <w:bookmarkEnd w:id="121"/>
      <w:bookmarkEnd w:id="122"/>
    </w:p>
    <w:p w:rsidR="00EE1CB7" w:rsidRDefault="00EE1CB7">
      <w:pPr>
        <w:widowControl w:val="0"/>
        <w:rPr>
          <w:rFonts w:cs="Times New Roman"/>
          <w:noProof/>
        </w:rPr>
      </w:pPr>
    </w:p>
    <w:p w:rsidR="00EE1CB7" w:rsidRDefault="00EE1CB7">
      <w:pPr>
        <w:widowControl w:val="0"/>
        <w:spacing w:after="0"/>
        <w:ind w:left="360"/>
        <w:jc w:val="center"/>
        <w:outlineLvl w:val="0"/>
        <w:rPr>
          <w:rFonts w:eastAsiaTheme="majorEastAsia" w:cstheme="majorBidi"/>
          <w:b/>
          <w:bCs/>
          <w:noProof/>
          <w:color w:val="1F497D" w:themeColor="text2"/>
          <w:sz w:val="32"/>
          <w:szCs w:val="28"/>
        </w:rPr>
        <w:sectPr w:rsidR="00EE1CB7">
          <w:headerReference w:type="even" r:id="rId136"/>
          <w:headerReference w:type="default" r:id="rId137"/>
          <w:footerReference w:type="even" r:id="rId138"/>
          <w:footerReference w:type="default" r:id="rId139"/>
          <w:headerReference w:type="first" r:id="rId140"/>
          <w:footerReference w:type="first" r:id="rId141"/>
          <w:type w:val="continuous"/>
          <w:pgSz w:w="11906" w:h="16838"/>
          <w:pgMar w:top="1440" w:right="1080" w:bottom="1440" w:left="1080" w:header="708" w:footer="708" w:gutter="0"/>
          <w:cols w:space="360"/>
          <w:docGrid w:linePitch="360"/>
        </w:sectPr>
      </w:pPr>
    </w:p>
    <w:p w:rsidR="00EE1CB7" w:rsidRDefault="0034634B">
      <w:pPr>
        <w:pStyle w:val="21"/>
        <w:rPr>
          <w:noProof/>
        </w:rPr>
      </w:pPr>
      <w:bookmarkStart w:id="123" w:name="_Toc525660390"/>
      <w:bookmarkStart w:id="124" w:name="_Toc546036"/>
      <w:bookmarkStart w:id="125" w:name="_Toc13470679"/>
      <w:bookmarkStart w:id="126" w:name="_Toc455589321"/>
      <w:bookmarkEnd w:id="109"/>
      <w:r>
        <w:rPr>
          <w:noProof/>
        </w:rPr>
        <w:t>Πληροφορίες, συμμετοχή του κοινού και πρόσβαση στη δικαιοσύνη</w:t>
      </w:r>
      <w:bookmarkEnd w:id="123"/>
      <w:bookmarkEnd w:id="124"/>
      <w:bookmarkEnd w:id="125"/>
    </w:p>
    <w:p w:rsidR="00EE1CB7" w:rsidRDefault="0034634B">
      <w:pPr>
        <w:shd w:val="clear" w:color="auto" w:fill="4F81BD" w:themeFill="accent1"/>
        <w:spacing w:after="0"/>
        <w:rPr>
          <w:rFonts w:cs="Times New Roman"/>
          <w:noProof/>
          <w:color w:val="F2F2F2" w:themeColor="background1" w:themeShade="F2"/>
          <w:szCs w:val="24"/>
          <w:shd w:val="clear" w:color="auto" w:fill="4F81BD" w:themeFill="accent1"/>
        </w:rPr>
      </w:pPr>
      <w:r>
        <w:rPr>
          <w:noProof/>
          <w:color w:val="F2F2F2" w:themeColor="background1" w:themeShade="F2"/>
          <w:shd w:val="clear" w:color="auto" w:fill="4F81BD" w:themeFill="accent1"/>
        </w:rPr>
        <w:t xml:space="preserve">Οι πολίτες μπορούν να προστατεύσουν πιο αποτελεσματικά το περιβάλλον αν μπορούν να βασιστούν στους τρεις «πυλώνες» της σύμβασης του Aarhus: </w:t>
      </w:r>
    </w:p>
    <w:p w:rsidR="00EE1CB7" w:rsidRDefault="0034634B">
      <w:pPr>
        <w:shd w:val="clear" w:color="auto" w:fill="4F81BD" w:themeFill="accent1"/>
        <w:spacing w:after="0"/>
        <w:rPr>
          <w:rFonts w:cs="Times New Roman"/>
          <w:noProof/>
          <w:color w:val="F2F2F2" w:themeColor="background1" w:themeShade="F2"/>
          <w:szCs w:val="24"/>
          <w:shd w:val="clear" w:color="auto" w:fill="4F81BD" w:themeFill="accent1"/>
        </w:rPr>
      </w:pPr>
      <w:r>
        <w:rPr>
          <w:noProof/>
          <w:color w:val="F2F2F2" w:themeColor="background1" w:themeShade="F2"/>
          <w:shd w:val="clear" w:color="auto" w:fill="4F81BD" w:themeFill="accent1"/>
        </w:rPr>
        <w:t xml:space="preserve">i) πρόσβαση σε πληροφορίες, </w:t>
      </w:r>
    </w:p>
    <w:p w:rsidR="00EE1CB7" w:rsidRDefault="0034634B">
      <w:pPr>
        <w:shd w:val="clear" w:color="auto" w:fill="4F81BD" w:themeFill="accent1"/>
        <w:spacing w:after="0"/>
        <w:rPr>
          <w:rFonts w:cs="Times New Roman"/>
          <w:noProof/>
          <w:color w:val="F2F2F2" w:themeColor="background1" w:themeShade="F2"/>
          <w:szCs w:val="24"/>
          <w:shd w:val="clear" w:color="auto" w:fill="4F81BD" w:themeFill="accent1"/>
        </w:rPr>
      </w:pPr>
      <w:r>
        <w:rPr>
          <w:noProof/>
          <w:color w:val="F2F2F2" w:themeColor="background1" w:themeShade="F2"/>
          <w:shd w:val="clear" w:color="auto" w:fill="4F81BD" w:themeFill="accent1"/>
        </w:rPr>
        <w:t xml:space="preserve">ii) συμμετοχή του κοινού στη λήψη των αποφάσεων, και </w:t>
      </w:r>
    </w:p>
    <w:p w:rsidR="00EE1CB7" w:rsidRDefault="0034634B">
      <w:pPr>
        <w:shd w:val="clear" w:color="auto" w:fill="4F81BD" w:themeFill="accent1"/>
        <w:spacing w:after="0"/>
        <w:rPr>
          <w:rFonts w:cs="Times New Roman"/>
          <w:noProof/>
          <w:color w:val="F2F2F2" w:themeColor="background1" w:themeShade="F2"/>
          <w:szCs w:val="24"/>
          <w:shd w:val="clear" w:color="auto" w:fill="4F81BD" w:themeFill="accent1"/>
        </w:rPr>
      </w:pPr>
      <w:r>
        <w:rPr>
          <w:noProof/>
          <w:color w:val="F2F2F2" w:themeColor="background1" w:themeShade="F2"/>
          <w:shd w:val="clear" w:color="auto" w:fill="4F81BD" w:themeFill="accent1"/>
        </w:rPr>
        <w:t xml:space="preserve">iii) πρόσβαση στη δικαιοσύνη για περιβαλλοντικά θέματα. </w:t>
      </w:r>
    </w:p>
    <w:p w:rsidR="00EE1CB7" w:rsidRDefault="00EE1CB7">
      <w:pPr>
        <w:shd w:val="clear" w:color="auto" w:fill="4F81BD" w:themeFill="accent1"/>
        <w:spacing w:after="0"/>
        <w:rPr>
          <w:rFonts w:cs="Times New Roman"/>
          <w:noProof/>
          <w:color w:val="F2F2F2" w:themeColor="background1" w:themeShade="F2"/>
          <w:szCs w:val="24"/>
          <w:shd w:val="clear" w:color="auto" w:fill="4F81BD" w:themeFill="accent1"/>
        </w:rPr>
      </w:pPr>
    </w:p>
    <w:p w:rsidR="00EE1CB7" w:rsidRDefault="0034634B">
      <w:pPr>
        <w:shd w:val="clear" w:color="auto" w:fill="4F81BD" w:themeFill="accent1"/>
        <w:spacing w:after="0"/>
        <w:rPr>
          <w:rFonts w:cs="Times New Roman"/>
          <w:noProof/>
          <w:color w:val="F2F2F2" w:themeColor="background1" w:themeShade="F2"/>
          <w:szCs w:val="24"/>
        </w:rPr>
      </w:pPr>
      <w:r>
        <w:rPr>
          <w:noProof/>
          <w:color w:val="F2F2F2" w:themeColor="background1" w:themeShade="F2"/>
          <w:shd w:val="clear" w:color="auto" w:fill="4F81BD" w:themeFill="accent1"/>
        </w:rPr>
        <w:t>Η αποδοτική και αποτελεσματική ανταλλαγή περιβαλλοντικών πληροφοριών είναι καίριας σημασίας για τις δημόσιες αρχές, το κοινό και τις επιχειρήσεις</w:t>
      </w:r>
      <w:r>
        <w:rPr>
          <w:rStyle w:val="ae"/>
          <w:noProof/>
          <w:color w:val="F2F2F2" w:themeColor="background1" w:themeShade="F2"/>
        </w:rPr>
        <w:footnoteReference w:id="139"/>
      </w:r>
      <w:r>
        <w:rPr>
          <w:noProof/>
          <w:color w:val="F2F2F2" w:themeColor="background1" w:themeShade="F2"/>
          <w:shd w:val="clear" w:color="auto" w:fill="4F81BD" w:themeFill="accent1"/>
        </w:rPr>
        <w:t>. Η συμμετοχή του κοινού παρέχει τη δυνατότητα στις αρχές να λαμβάνουν υπόψη στις αποφάσεις τους τις ανησυχίες του κοινού. Η πρόσβαση στη δικαιοσύνη είναι μια δέσμη εγγυήσεων που παρέχει τη δυνατότητα στους πολίτες και τις ΜΚΟ να χρησιμοποιούν τα εθνικά δικαστήρια για την προστασία του περιβάλλοντος</w:t>
      </w:r>
      <w:r>
        <w:rPr>
          <w:rStyle w:val="ae"/>
          <w:noProof/>
          <w:color w:val="F2F2F2" w:themeColor="background1" w:themeShade="F2"/>
        </w:rPr>
        <w:footnoteReference w:id="140"/>
      </w:r>
      <w:r>
        <w:rPr>
          <w:noProof/>
          <w:color w:val="F2F2F2" w:themeColor="background1" w:themeShade="F2"/>
          <w:shd w:val="clear" w:color="auto" w:fill="4F81BD" w:themeFill="accent1"/>
        </w:rPr>
        <w:t xml:space="preserve"> και περιλαμβάνει, μεταξύ άλλων, το δικαίωμα προσφυγής («νομιμοποίηση»)</w:t>
      </w:r>
      <w:r>
        <w:rPr>
          <w:rStyle w:val="ae"/>
          <w:noProof/>
          <w:color w:val="F2F2F2" w:themeColor="background1" w:themeShade="F2"/>
        </w:rPr>
        <w:footnoteReference w:id="141"/>
      </w:r>
      <w:r>
        <w:rPr>
          <w:noProof/>
          <w:color w:val="F2F2F2" w:themeColor="background1" w:themeShade="F2"/>
          <w:shd w:val="clear" w:color="auto" w:fill="4F81BD" w:themeFill="accent1"/>
        </w:rPr>
        <w:t>.</w:t>
      </w:r>
    </w:p>
    <w:p w:rsidR="00EE1CB7" w:rsidRDefault="0034634B">
      <w:pPr>
        <w:pStyle w:val="31"/>
        <w:rPr>
          <w:noProof/>
        </w:rPr>
      </w:pPr>
      <w:r>
        <w:rPr>
          <w:noProof/>
        </w:rPr>
        <w:t>Περιβαλλοντικές πληροφορίες</w:t>
      </w:r>
    </w:p>
    <w:p w:rsidR="00EE1CB7" w:rsidRDefault="0034634B">
      <w:pPr>
        <w:rPr>
          <w:noProof/>
        </w:rPr>
      </w:pPr>
      <w:r>
        <w:rPr>
          <w:noProof/>
        </w:rPr>
        <w:t>Η Ελλάδα διαθέτει κεντρικό σύστημα για την παροχή περιβαλλοντικών δεδομένων. Η διαδικτυακή πύλη του Υπουργείου Περιβάλλοντος και Ενέργειας</w:t>
      </w:r>
      <w:r>
        <w:rPr>
          <w:rStyle w:val="ae"/>
          <w:rFonts w:asciiTheme="minorEastAsia" w:eastAsiaTheme="minorEastAsia" w:hAnsiTheme="minorEastAsia" w:cstheme="minorEastAsia"/>
          <w:noProof/>
        </w:rPr>
        <w:footnoteReference w:id="142"/>
      </w:r>
      <w:r>
        <w:rPr>
          <w:noProof/>
        </w:rPr>
        <w:t xml:space="preserve"> αποτελεί την κύρια διαδικτυακή πύλη για όλες αυτές τις πληροφορίες. Από τις εθνικές διαδικτυακές πύλες λείπουν πληροφορίες για τις χημικές ουσίες και τις βιομηχανικές εκπομπές και δεν διατίθενται μεταδεδομένα και σύνολα δεδομένων για το παρελθόν σχετικά με την περιβαλλοντική νομοθεσία της ΕΕ. Δεδομένα για τις προδιαγραφές της οδηγίας INSPIRE διατίθενται μόνο στη διαδικτυακή πύλη INSPIRE, η οποία συνδέεται με τη διαδικτυακή πύλη για το περιβάλλον. Όσον αφορά τη χρηστικότητα, η εύρεση της </w:t>
      </w:r>
      <w:r>
        <w:rPr>
          <w:noProof/>
        </w:rPr>
        <w:t>πλειονότητας των διαθέσιμων πληροφοριών μπορεί να γίνει μέσω της λειτουργίας αναζήτησης.</w:t>
      </w:r>
    </w:p>
    <w:p w:rsidR="00EE1CB7" w:rsidRDefault="0034634B">
      <w:pPr>
        <w:rPr>
          <w:noProof/>
        </w:rPr>
      </w:pPr>
      <w:r>
        <w:rPr>
          <w:noProof/>
        </w:rPr>
        <w:t>Υπάρχουν περιθώρια βελτίωσης όσον αφορά την εφαρμογή της οδηγίας INSPIRE από την Ελλάδα. Οι επιδόσεις της χώρας εξετάστηκαν βάσει της έκθεσης εφαρμογής που υπέβαλε για το 2016</w:t>
      </w:r>
      <w:r>
        <w:rPr>
          <w:rStyle w:val="ae"/>
          <w:rFonts w:eastAsiaTheme="minorEastAsia" w:cstheme="minorEastAsia"/>
          <w:noProof/>
        </w:rPr>
        <w:footnoteReference w:id="143"/>
      </w:r>
      <w:r>
        <w:rPr>
          <w:noProof/>
        </w:rPr>
        <w:t xml:space="preserve"> και των πιο πρόσφατων δεδομένων παρακολούθησης από το 2016</w:t>
      </w:r>
      <w:r>
        <w:rPr>
          <w:rStyle w:val="ae"/>
          <w:rFonts w:eastAsiaTheme="minorEastAsia" w:cstheme="minorEastAsia"/>
          <w:noProof/>
        </w:rPr>
        <w:footnoteReference w:id="144"/>
      </w:r>
      <w:r>
        <w:rPr>
          <w:noProof/>
        </w:rPr>
        <w:t>. (Η Ελλάδα καθυστέρησε να παράσχει αποτελέσματα παρακολούθησης για το 2017.) Η Ελλάδα πρέπει να καταβάλει περισσότερες προσπάθειες για να εντοπίζει και να καταγράφει χωρικά δεδομένα και για να καθιστά τα δεδομένα προσβάσιμα μέσω υπηρεσιών. Η Ελλάδα πρέπει επίσης να καταβάλει περισσότερες προσπάθειες για την προτεραιοποίηση των συνόλων περιβαλλοντικών δεδομένων στο πλαίσιο της εφαρμογής της περιβαλλοντικής νομοθεσίας. Ειδικότερα, πρέπει να δοθεί προτεραιότητα σε σύνολα δεδομένων που προσδιορίζονται ως σύνολα χωρικών δεδομένων υψηλής αξίας</w:t>
      </w:r>
      <w:r>
        <w:rPr>
          <w:rStyle w:val="ae"/>
          <w:rFonts w:eastAsiaTheme="minorEastAsia" w:cstheme="minorEastAsia"/>
          <w:noProof/>
        </w:rPr>
        <w:footnoteReference w:id="145"/>
      </w:r>
      <w:r>
        <w:rPr>
          <w:noProof/>
        </w:rPr>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tblGrid>
      <w:tr w:rsidR="00EE1CB7">
        <w:tc>
          <w:tcPr>
            <w:tcW w:w="9242" w:type="dxa"/>
          </w:tcPr>
          <w:p w:rsidR="00EE1CB7" w:rsidRDefault="0034634B">
            <w:pPr>
              <w:spacing w:before="100" w:beforeAutospacing="1" w:after="100" w:afterAutospacing="1"/>
              <w:rPr>
                <w:b/>
                <w:bCs/>
                <w:noProof/>
                <w:color w:val="1F497D" w:themeColor="text2"/>
              </w:rPr>
            </w:pPr>
            <w:r>
              <w:rPr>
                <w:b/>
                <w:noProof/>
                <w:color w:val="1F497D"/>
              </w:rPr>
              <w:t>Διάγραμμα 22: Πρόσβαση σε χωρικά δεδομένα μέσω υπηρεσιών απεικόνισης και τηλεφόρτωσης στην Ελλάδα (2017)</w:t>
            </w:r>
            <w:r>
              <w:rPr>
                <w:rFonts w:asciiTheme="minorEastAsia" w:eastAsiaTheme="minorEastAsia" w:hAnsiTheme="minorEastAsia" w:cstheme="minorEastAsia"/>
                <w:noProof/>
              </w:rPr>
              <w:t xml:space="preserve"> </w:t>
            </w:r>
          </w:p>
        </w:tc>
      </w:tr>
      <w:tr w:rsidR="00EE1CB7">
        <w:tc>
          <w:tcPr>
            <w:tcW w:w="9242" w:type="dxa"/>
          </w:tcPr>
          <w:p w:rsidR="00EE1CB7" w:rsidRDefault="0034634B">
            <w:pPr>
              <w:spacing w:before="100" w:beforeAutospacing="1" w:after="100" w:afterAutospacing="1"/>
              <w:rPr>
                <w:b/>
                <w:bCs/>
                <w:noProof/>
                <w:color w:val="1F497D" w:themeColor="text2"/>
              </w:rPr>
            </w:pPr>
            <w:r>
              <w:rPr>
                <w:b/>
                <w:bCs/>
                <w:noProof/>
                <w:color w:val="1F497D" w:themeColor="text2"/>
                <w:lang w:bidi="ar-SA"/>
              </w:rPr>
              <w:drawing>
                <wp:inline distT="0" distB="0" distL="0" distR="0">
                  <wp:extent cx="2991917" cy="2303343"/>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992798" cy="2304021"/>
                          </a:xfrm>
                          <a:prstGeom prst="rect">
                            <a:avLst/>
                          </a:prstGeom>
                          <a:noFill/>
                        </pic:spPr>
                      </pic:pic>
                    </a:graphicData>
                  </a:graphic>
                </wp:inline>
              </w:drawing>
            </w:r>
          </w:p>
        </w:tc>
      </w:tr>
    </w:tbl>
    <w:p w:rsidR="00EE1CB7" w:rsidRDefault="0034634B">
      <w:pPr>
        <w:pStyle w:val="31"/>
        <w:rPr>
          <w:noProof/>
        </w:rPr>
      </w:pPr>
      <w:r>
        <w:rPr>
          <w:noProof/>
        </w:rPr>
        <w:t>Συμμετοχή του κοινού</w:t>
      </w:r>
    </w:p>
    <w:p w:rsidR="00EE1CB7" w:rsidRDefault="0034634B">
      <w:pPr>
        <w:rPr>
          <w:noProof/>
        </w:rPr>
      </w:pPr>
      <w:r>
        <w:rPr>
          <w:noProof/>
        </w:rPr>
        <w:t>Στην Ελλάδα, οι βασικές νομικές πράξεις που σχετίζονται με τη συμμετοχή του κοινού είναι ο νόμος 3422/2005 (ΦΕΚ 303/Α/13.12.2005)</w:t>
      </w:r>
      <w:r>
        <w:rPr>
          <w:rStyle w:val="ae"/>
          <w:noProof/>
        </w:rPr>
        <w:footnoteReference w:id="146"/>
      </w:r>
      <w:r>
        <w:rPr>
          <w:noProof/>
        </w:rPr>
        <w:t xml:space="preserve">, οι νόμοι 4014/2011 και 4042/2012 και η Κοινή Υπουργική Απόφαση (ΚΥΑ) αριθ. 1649/45/2014 (ΦΕΚ 45/Β/15.01.2014). Από κοινού, αυτές οι πράξεις εφαρμόζουν τους διαφορετικούς </w:t>
      </w:r>
      <w:r>
        <w:rPr>
          <w:noProof/>
        </w:rPr>
        <w:lastRenderedPageBreak/>
        <w:t>πυλώνες της σύμβασης του Aarhus. Στην πράξη, δύο πλατφόρμες παρέχουν κεντρική πληροφόρηση σχετικά με τη συμμετοχή του κοινού: i) ο ιστότοπος «Ανοικτή Διακυβέρνηση»</w:t>
      </w:r>
      <w:r>
        <w:rPr>
          <w:rStyle w:val="ae"/>
          <w:noProof/>
        </w:rPr>
        <w:footnoteReference w:id="147"/>
      </w:r>
      <w:r>
        <w:rPr>
          <w:noProof/>
        </w:rPr>
        <w:t xml:space="preserve"> για τις δημόσιες διαβουλεύσεις· και ii) το Ηλεκτρονικό Περιβαλλοντικό Μητρώο (ΗΠΜ)</w:t>
      </w:r>
      <w:r>
        <w:rPr>
          <w:rStyle w:val="ae"/>
          <w:noProof/>
        </w:rPr>
        <w:footnoteReference w:id="148"/>
      </w:r>
      <w:r>
        <w:rPr>
          <w:noProof/>
        </w:rPr>
        <w:t>, όπου το κοινό μπορεί να προβάλλει αρχεία που υποβάλλονται διαδικτυακά από αιτούντες αδειοδότηση με όλα τα απαραίτητα δεδομένα τεκμηρίωσης. Δυστυχώς, το ΗΠΜ δεν είναι ακόμη πλήρως λειτουργικό, κάτι που αποτρέπει την πρόσβαση του κοινού στις απαραίτητες πληροφορίες και παρεμποδίζει τη συμμετοχική διαδικασία</w:t>
      </w:r>
      <w:r>
        <w:rPr>
          <w:rStyle w:val="ae"/>
          <w:noProof/>
        </w:rPr>
        <w:footnoteReference w:id="149"/>
      </w:r>
      <w:r>
        <w:rPr>
          <w:noProof/>
        </w:rPr>
        <w:t>.</w:t>
      </w:r>
    </w:p>
    <w:p w:rsidR="00EE1CB7" w:rsidRDefault="0034634B">
      <w:pPr>
        <w:rPr>
          <w:noProof/>
        </w:rPr>
      </w:pPr>
      <w:r>
        <w:rPr>
          <w:noProof/>
        </w:rPr>
        <w:t>Από τα στοιχεία του Ευρωβαρόμετρου για το 2017 προκύπτει ότι οι πολίτες στην Ελλάδα συμφωνούν απόλυτα (88 % των απαντησάντων) ότι ο καθένας μπορεί να παίξει ρόλο στην προστασία του περιβάλλοντος. Το ποσοστό αυτό είναι το ίδιο με το Ευρωβαρόμετρο για το 2014.</w:t>
      </w:r>
    </w:p>
    <w:p w:rsidR="00EE1CB7" w:rsidRDefault="0034634B">
      <w:pPr>
        <w:pStyle w:val="31"/>
        <w:rPr>
          <w:noProof/>
        </w:rPr>
      </w:pPr>
      <w:r>
        <w:rPr>
          <w:noProof/>
        </w:rPr>
        <w:t>Πρόσβαση στη δικαιοσύνη</w:t>
      </w:r>
    </w:p>
    <w:p w:rsidR="00EE1CB7" w:rsidRDefault="0034634B">
      <w:pPr>
        <w:rPr>
          <w:noProof/>
          <w:szCs w:val="20"/>
        </w:rPr>
      </w:pPr>
      <w:r>
        <w:rPr>
          <w:noProof/>
        </w:rPr>
        <w:t>Ενώ στον ιστότοπο του Υπουργείου Περιβάλλοντος και Ενέργειας (ΥΠΕΝ) της Ελλάδας παρέχονται γενικές πληροφορίες σχετικά με το δικαίωμα του κοινού για πρόσβαση στη δικαιοσύνη, ο ιστότοπος δεν είναι φιλικός προς τον χρήστη.</w:t>
      </w:r>
    </w:p>
    <w:p w:rsidR="00EE1CB7" w:rsidRDefault="0034634B">
      <w:pPr>
        <w:rPr>
          <w:noProof/>
          <w:szCs w:val="20"/>
        </w:rPr>
      </w:pPr>
      <w:r>
        <w:rPr>
          <w:noProof/>
        </w:rPr>
        <w:t>Η Ελλάδα διαθέτει προοδευτικούς καθιερωμένους κανόνες και η νομολογία του Συμβουλίου της Επικρατείας θεωρείται εδώ και καιρό πρωτοποριακή όσον αφορά την προστασία του περιβάλλοντος. Δεν υφίστανται σημαντικοί φραγμοί στην παραπομπή υποθέσεων που αφορούν τη φύση και την ατμοσφαιρική ρύπανση στο δικαστήριο.</w:t>
      </w:r>
    </w:p>
    <w:p w:rsidR="00EE1CB7" w:rsidRDefault="0034634B">
      <w:pPr>
        <w:rPr>
          <w:noProof/>
          <w:color w:val="1F497D" w:themeColor="text2"/>
          <w:sz w:val="22"/>
        </w:rPr>
      </w:pPr>
      <w:r>
        <w:rPr>
          <w:noProof/>
          <w:color w:val="1F497D" w:themeColor="text2"/>
          <w:sz w:val="22"/>
        </w:rPr>
        <w:t>Δράσεις προτεραιότητας για το 2019</w:t>
      </w:r>
    </w:p>
    <w:p w:rsidR="00EE1CB7" w:rsidRDefault="0034634B">
      <w:pPr>
        <w:pStyle w:val="SuggActions"/>
      </w:pPr>
      <w:r>
        <w:t>Βελτίωση της πρόσβασης σε χωρικά δεδομένα και υπηρεσίες μέσω της ενίσχυσης των δεσμών μεταξύ του κεντρικού ιστοτόπου INSPIRE και των περιφερειακών διαδικτυακών πυλών. Προσδιορισμός και τεκμηρίωση όλων των συνόλων χωρικών δεδομένων που απαιτούνται για την εφαρμογή της περιβαλλοντικής νομοθεσίας</w:t>
      </w:r>
      <w:r>
        <w:rPr>
          <w:rStyle w:val="ae"/>
        </w:rPr>
        <w:footnoteReference w:id="150"/>
      </w:r>
      <w:r>
        <w:t>. Διάθεση, κατ’ ελάχιστο, των δεδομένων και της τεκμηρίωσης «ως έχουν» σε άλλες δημόσιες αρχές και στο κοινό μέσω των ψηφιακών υπηρεσιών που προβλέπονται στην οδηγία INSPIRE.</w:t>
      </w:r>
    </w:p>
    <w:p w:rsidR="00EE1CB7" w:rsidRDefault="0034634B">
      <w:pPr>
        <w:pStyle w:val="SuggActions"/>
      </w:pPr>
      <w:r>
        <w:t xml:space="preserve">Καλύτερη ενημέρωση του κοινού σχετικά με τα δικαιώματα πρόσβασης στη δικαιοσύνη, κυρίως </w:t>
      </w:r>
      <w:r>
        <w:t>σχετικά με την ατμοσφαιρική ρύπανση και τη διατήρηση της φύσης.</w:t>
      </w:r>
    </w:p>
    <w:p w:rsidR="00EE1CB7" w:rsidRDefault="0034634B">
      <w:pPr>
        <w:pStyle w:val="21"/>
        <w:rPr>
          <w:noProof/>
        </w:rPr>
      </w:pPr>
      <w:bookmarkStart w:id="127" w:name="_Toc546037"/>
      <w:bookmarkStart w:id="128" w:name="_Toc13470680"/>
      <w:r>
        <w:rPr>
          <w:noProof/>
        </w:rPr>
        <w:t>Διασφάλιση συμμόρφωσης</w:t>
      </w:r>
      <w:bookmarkEnd w:id="127"/>
      <w:bookmarkEnd w:id="128"/>
    </w:p>
    <w:p w:rsidR="00EE1CB7" w:rsidRDefault="0034634B">
      <w:pPr>
        <w:shd w:val="clear" w:color="auto" w:fill="4F81BD" w:themeFill="accent1"/>
        <w:spacing w:after="0"/>
        <w:rPr>
          <w:noProof/>
          <w:color w:val="F2F2F2" w:themeColor="background1" w:themeShade="F2"/>
        </w:rPr>
      </w:pPr>
      <w:r>
        <w:rPr>
          <w:noProof/>
          <w:color w:val="FFFFFF" w:themeColor="background1"/>
        </w:rPr>
        <w:t xml:space="preserve">Η διασφάλιση συμμόρφωσης καλύπτει όλες τις εργασίες που αναλαμβάνουν οι δημόσιες αρχές για να διασφαλίζουν ότι οι βιομηχανίες, οι γεωργοί και άλλοι εκπληρώνουν τις υποχρεώσεις τους όσον αφορά την προστασία των υδάτων, του αέρα και της φύσης, καθώς και τη </w:t>
      </w:r>
      <w:r>
        <w:rPr>
          <w:noProof/>
          <w:color w:val="F2F2F2" w:themeColor="background1" w:themeShade="F2"/>
        </w:rPr>
        <w:t>διαχείριση των αποβλήτων</w:t>
      </w:r>
      <w:r>
        <w:rPr>
          <w:rStyle w:val="ae"/>
          <w:noProof/>
          <w:color w:val="F2F2F2" w:themeColor="background1" w:themeShade="F2"/>
        </w:rPr>
        <w:footnoteReference w:id="151"/>
      </w:r>
      <w:r>
        <w:rPr>
          <w:noProof/>
          <w:color w:val="F2F2F2" w:themeColor="background1" w:themeShade="F2"/>
        </w:rPr>
        <w:t xml:space="preserve">. </w:t>
      </w:r>
      <w:r>
        <w:rPr>
          <w:noProof/>
          <w:color w:val="FFFFFF" w:themeColor="background1"/>
        </w:rPr>
        <w:t>Περιλαμβάνει μέτρα στήριξης</w:t>
      </w:r>
      <w:r>
        <w:rPr>
          <w:noProof/>
          <w:color w:val="F2F2F2" w:themeColor="background1" w:themeShade="F2"/>
        </w:rPr>
        <w:t xml:space="preserve"> που παρέχονται από τις αρχές, όπως τα εξής: </w:t>
      </w:r>
    </w:p>
    <w:p w:rsidR="00EE1CB7" w:rsidRDefault="0034634B">
      <w:pPr>
        <w:shd w:val="clear" w:color="auto" w:fill="4F81BD" w:themeFill="accent1"/>
        <w:spacing w:after="0"/>
        <w:rPr>
          <w:noProof/>
          <w:color w:val="F2F2F2" w:themeColor="background1" w:themeShade="F2"/>
        </w:rPr>
      </w:pPr>
      <w:r>
        <w:rPr>
          <w:noProof/>
          <w:color w:val="F2F2F2" w:themeColor="background1" w:themeShade="F2"/>
        </w:rPr>
        <w:t>I) προώθηση της συμμόρφωσης</w:t>
      </w:r>
      <w:r>
        <w:rPr>
          <w:rStyle w:val="ae"/>
          <w:noProof/>
          <w:color w:val="F2F2F2" w:themeColor="background1" w:themeShade="F2"/>
        </w:rPr>
        <w:footnoteReference w:id="152"/>
      </w:r>
      <w:r>
        <w:rPr>
          <w:noProof/>
          <w:color w:val="F2F2F2" w:themeColor="background1" w:themeShade="F2"/>
        </w:rPr>
        <w:t xml:space="preserve">, </w:t>
      </w:r>
    </w:p>
    <w:p w:rsidR="00EE1CB7" w:rsidRDefault="0034634B">
      <w:pPr>
        <w:shd w:val="clear" w:color="auto" w:fill="4F81BD" w:themeFill="accent1"/>
        <w:spacing w:after="0"/>
        <w:rPr>
          <w:noProof/>
          <w:color w:val="F2F2F2" w:themeColor="background1" w:themeShade="F2"/>
        </w:rPr>
      </w:pPr>
      <w:r>
        <w:rPr>
          <w:noProof/>
          <w:color w:val="F2F2F2" w:themeColor="background1" w:themeShade="F2"/>
        </w:rPr>
        <w:t>ii) επιθεωρήσεις και άλλοι έλεγχοι που διενεργούν, δηλ. παρακολούθηση της συμμόρφωσης</w:t>
      </w:r>
      <w:r>
        <w:rPr>
          <w:rStyle w:val="ae"/>
          <w:noProof/>
          <w:color w:val="F2F2F2" w:themeColor="background1" w:themeShade="F2"/>
        </w:rPr>
        <w:footnoteReference w:id="153"/>
      </w:r>
      <w:r>
        <w:rPr>
          <w:noProof/>
          <w:color w:val="F2F2F2" w:themeColor="background1" w:themeShade="F2"/>
        </w:rPr>
        <w:t xml:space="preserve">, και </w:t>
      </w:r>
    </w:p>
    <w:p w:rsidR="00EE1CB7" w:rsidRDefault="0034634B">
      <w:pPr>
        <w:shd w:val="clear" w:color="auto" w:fill="4F81BD" w:themeFill="accent1"/>
        <w:spacing w:after="0"/>
        <w:rPr>
          <w:noProof/>
          <w:color w:val="F2F2F2" w:themeColor="background1" w:themeShade="F2"/>
        </w:rPr>
      </w:pPr>
      <w:r>
        <w:rPr>
          <w:noProof/>
          <w:color w:val="F2F2F2" w:themeColor="background1" w:themeShade="F2"/>
        </w:rPr>
        <w:t>iii) τα μέτρα που λαμβάνουν για να σταματήσουν παραβιάσεις, να επιβάλουν κυρώσεις και να απαιτήσουν την αποκατάσταση ζημιών, δηλ. επιβολή της νομοθεσίας</w:t>
      </w:r>
      <w:r>
        <w:rPr>
          <w:rStyle w:val="ae"/>
          <w:noProof/>
          <w:color w:val="F2F2F2" w:themeColor="background1" w:themeShade="F2"/>
        </w:rPr>
        <w:footnoteReference w:id="154"/>
      </w:r>
      <w:r>
        <w:rPr>
          <w:noProof/>
          <w:color w:val="F2F2F2" w:themeColor="background1" w:themeShade="F2"/>
        </w:rPr>
        <w:t xml:space="preserve">. </w:t>
      </w:r>
    </w:p>
    <w:p w:rsidR="00EE1CB7" w:rsidRDefault="0034634B">
      <w:pPr>
        <w:shd w:val="clear" w:color="auto" w:fill="4F81BD" w:themeFill="accent1"/>
        <w:rPr>
          <w:noProof/>
          <w:color w:val="F2F2F2" w:themeColor="background1" w:themeShade="F2"/>
        </w:rPr>
      </w:pPr>
      <w:r>
        <w:rPr>
          <w:noProof/>
          <w:color w:val="F2F2F2" w:themeColor="background1" w:themeShade="F2"/>
        </w:rPr>
        <w:t>Οι επιστημονικές δραστηριότητες και οι καταγγελίες πολιτών δίνουν τη δυνατότητα στις αρχές να εστιάζουν καλύτερα τις προσπάθειές τους. Η περιβαλλοντική ευθύνη</w:t>
      </w:r>
      <w:r>
        <w:rPr>
          <w:rStyle w:val="ae"/>
          <w:noProof/>
          <w:color w:val="F2F2F2" w:themeColor="background1" w:themeShade="F2"/>
        </w:rPr>
        <w:footnoteReference w:id="155"/>
      </w:r>
      <w:r>
        <w:rPr>
          <w:noProof/>
          <w:color w:val="F2F2F2" w:themeColor="background1" w:themeShade="F2"/>
        </w:rPr>
        <w:t xml:space="preserve"> διασφαλίζει ότι ο ρυπαίνων πληρώνει για την αποκατάσταση της ζημίας.</w:t>
      </w:r>
    </w:p>
    <w:p w:rsidR="00EE1CB7" w:rsidRDefault="0034634B">
      <w:pPr>
        <w:pStyle w:val="31"/>
        <w:rPr>
          <w:noProof/>
        </w:rPr>
      </w:pPr>
      <w:r>
        <w:rPr>
          <w:noProof/>
        </w:rPr>
        <w:t xml:space="preserve">Προώθηση και παρακολούθηση της συμμόρφωσης </w:t>
      </w:r>
    </w:p>
    <w:p w:rsidR="00EE1CB7" w:rsidRDefault="0034634B">
      <w:pPr>
        <w:rPr>
          <w:noProof/>
        </w:rPr>
      </w:pPr>
      <w:r>
        <w:rPr>
          <w:noProof/>
        </w:rPr>
        <w:t>Παρέχεται ηλεκτρονική πληροφόρηση στους γεωργούς σχετικά με το πώς μπορούν να συμμορφώνονται με τις υποχρεώσεις που αφορούν τη νιτρορύπανση και τη φύση. Η ποιότητα αυτής της πληροφόρησης αποτελεί ένδειξη του πόσο ενεργά προωθούν οι αρχές τη συμμόρφωση σε τομείς με σημαντικά κενά στην εφαρμογή. Στην Ελλάδα, υπάρχει γενική έλλειψη διαδικτυακών πρακτικών πληροφοριών απευθυνόμενων σε γεωργούς σχετικά με τα εν λόγω θέματα.</w:t>
      </w:r>
    </w:p>
    <w:p w:rsidR="00EE1CB7" w:rsidRDefault="0034634B">
      <w:pPr>
        <w:rPr>
          <w:noProof/>
        </w:rPr>
      </w:pPr>
      <w:r>
        <w:rPr>
          <w:noProof/>
        </w:rPr>
        <w:t xml:space="preserve">Οι μεγάλες βιομηχανικές εγκαταστάσεις μπορεί να επιφυλάσσουν σοβαρούς κινδύνους ρύπανσης. Οι δημόσιες αρχές υποχρεούνται να διαθέτουν σχέδια για την επιθεώρηση αυτών των εγκαταστάσεων και να καταρτίζουν επιμέρους εκθέσεις επιθεώρησης που θα </w:t>
      </w:r>
      <w:r>
        <w:rPr>
          <w:noProof/>
        </w:rPr>
        <w:lastRenderedPageBreak/>
        <w:t>είναι διαθέσιμες στο κοινό</w:t>
      </w:r>
      <w:r>
        <w:rPr>
          <w:rStyle w:val="ae"/>
          <w:rFonts w:asciiTheme="minorEastAsia" w:eastAsiaTheme="minorEastAsia" w:hAnsiTheme="minorEastAsia" w:cstheme="minorEastAsia"/>
          <w:noProof/>
        </w:rPr>
        <w:footnoteReference w:id="156"/>
      </w:r>
      <w:r>
        <w:rPr>
          <w:noProof/>
        </w:rPr>
        <w:t>. Στο «Εθνικό Σχέδιο και Προγράμματα Τακτικών Περιβαλλοντικών Επιθεωρήσεων» (Ιούνιος 2017) προσδιορίστηκαν συνολικά 1 291 βιομηχανίες σε ολόκληρη τη χώρα, οι οποίες υπόκεινται σε περιβαλλοντικές επιθεωρήσεις. Επίσης, καθορίστηκαν τα συγκεκριμένα χαρακτηριστικά των προγραμμάτων επιθεώρησης προς εφαρμογή κατά τα έτη 2017 και 2018 (και για τα επόμενα έτη).</w:t>
      </w:r>
    </w:p>
    <w:p w:rsidR="00EE1CB7" w:rsidRDefault="0034634B">
      <w:pPr>
        <w:pStyle w:val="31"/>
        <w:rPr>
          <w:noProof/>
        </w:rPr>
      </w:pPr>
      <w:r>
        <w:rPr>
          <w:noProof/>
        </w:rPr>
        <w:t>Επιστήμη των πολιτών και χειρισμός καταγγελιών</w:t>
      </w:r>
    </w:p>
    <w:p w:rsidR="00EE1CB7" w:rsidRDefault="0034634B">
      <w:pPr>
        <w:rPr>
          <w:noProof/>
          <w:szCs w:val="20"/>
        </w:rPr>
      </w:pPr>
      <w:r>
        <w:rPr>
          <w:noProof/>
        </w:rPr>
        <w:t>Η συμμετοχή του ευρέος κοινού μέσω της επιστήμης των πολιτών μπορεί να προαγάγει τις γνώσεις για το περιβάλλον και βοηθά τις αρχές στο έργο τους. Δεν ήταν δυνατή η εύρεση ηλεκτρονικής πληροφόρησης σχετικά με τη χρήση της επιστήμης των πολιτών στην Ελλάδα.</w:t>
      </w:r>
    </w:p>
    <w:p w:rsidR="00EE1CB7" w:rsidRDefault="0034634B">
      <w:pPr>
        <w:rPr>
          <w:noProof/>
          <w:szCs w:val="20"/>
        </w:rPr>
      </w:pPr>
      <w:r>
        <w:rPr>
          <w:noProof/>
        </w:rPr>
        <w:t>Η διαθεσιμότητα σαφούς ηλεκτρονικής πληροφόρησης σχετικά με τους τρόπους υποβολής καταγγελιών αποτελεί ένδειξη για τον βαθμό ανταπόκρισης των αρχών στις καταγγελίες του κοινού. Δεν υπάρχει ειδικός κρατικός ιστότοπος στον οποίο παρέχονται πληροφορίες για τους τρόπους υποβολής περιβαλλοντικών καταγγελιών. Επιπλέον, ο μηχανισμός χειρισμού των καταγγελιών είναι κατακερματισμένος και είναι δύσκολο για τους πολίτες να γνωρίζουν σε ποιον πρέπει να απευθύνονται, παρόλο που ορισμένες μεμονωμένες αρχές όντως παρέχουν πληροφόρηση.</w:t>
      </w:r>
    </w:p>
    <w:p w:rsidR="00EE1CB7" w:rsidRDefault="0034634B">
      <w:pPr>
        <w:pStyle w:val="31"/>
        <w:rPr>
          <w:noProof/>
        </w:rPr>
      </w:pPr>
      <w:r>
        <w:rPr>
          <w:noProof/>
        </w:rPr>
        <w:t>Επιβολή της νομοθεσίας</w:t>
      </w:r>
    </w:p>
    <w:p w:rsidR="00EE1CB7" w:rsidRDefault="0034634B">
      <w:pPr>
        <w:rPr>
          <w:noProof/>
        </w:rPr>
      </w:pPr>
      <w:r>
        <w:rPr>
          <w:noProof/>
          <w:color w:val="000000" w:themeColor="text1"/>
        </w:rPr>
        <w:t xml:space="preserve">Όταν κατά την παρακολούθηση διαπιστώνονται προβλήματα, μπορεί να είναι κατάλληλοι διάφοροι τρόποι αντιμετώπισης. </w:t>
      </w:r>
      <w:r>
        <w:rPr>
          <w:noProof/>
        </w:rPr>
        <w:t xml:space="preserve">Οι ετήσιες εκθέσεις της ελληνικής Επιθεώρησης Περιβάλλοντος περιλαμβάνουν δεδομένα σχετικά με την έκβαση / τα αποτελέσματα των επιθεωρήσεων, </w:t>
      </w:r>
      <w:r>
        <w:rPr>
          <w:noProof/>
        </w:rPr>
        <w:fldChar w:fldCharType="begin"/>
      </w:r>
      <w:r>
        <w:rPr>
          <w:noProof/>
        </w:rPr>
        <w:instrText xml:space="preserve"> NOTEREF _Ref515346591 \h  \* MERGEFORMAT </w:instrText>
      </w:r>
      <w:r>
        <w:rPr>
          <w:noProof/>
        </w:rPr>
      </w:r>
      <w:r>
        <w:rPr>
          <w:noProof/>
        </w:rPr>
        <w:fldChar w:fldCharType="end"/>
      </w:r>
      <w:r>
        <w:rPr>
          <w:noProof/>
        </w:rPr>
        <w:t xml:space="preserve">καθώς και τυχόν πρόστιμα που επιβλήθηκαν. Ωστόσο, υπάρχει έλλειψη ευρύτερης πληροφόρησης σχετικά με τη δίωξη περιβαλλοντικών εγκλημάτων και τη συνέχεια που δίδεται </w:t>
      </w:r>
      <w:r>
        <w:rPr>
          <w:noProof/>
          <w:color w:val="000000" w:themeColor="text1"/>
        </w:rPr>
        <w:t>στις παραβιάσεις της πολλαπλής συμμόρφωσης ως προς τη νιτρορύπανση και τη φύση.</w:t>
      </w:r>
    </w:p>
    <w:p w:rsidR="00EE1CB7" w:rsidRDefault="0034634B">
      <w:pPr>
        <w:rPr>
          <w:noProof/>
        </w:rPr>
      </w:pPr>
      <w:r>
        <w:rPr>
          <w:noProof/>
        </w:rPr>
        <w:t>Το έργο της αντιμετώπισης των αποβλήτων, των εγκλημάτων κατά της άγριας ζωής και άλλων περιβαλλοντικών αδικημάτων παρουσιάζει ιδιαίτερες προκλήσεις. Προϋποθέτει στενή συνεργασία και μηχανισμούς συντονισμού μεταξύ επιθεωρητών, τελωνειακών αρχών, αστυνομίας και εισαγγελικών αρχών. Παρότι, βάσει της ελληνικής νομοθεσίας, παρέχεται στους επιθεωρητές, την αστυνομία και τους εισαγγελείς δυνητικός ρόλος στην καταπολέμηση των περιβαλλοντικών εγκλημάτων, δεν υπάρχουν διαθέσιμες πληροφορίες σχετικά με τις πρακτικές διευθετήσεις για τη συνεργασία και τον συντονισμό τους.</w:t>
      </w:r>
    </w:p>
    <w:p w:rsidR="00EE1CB7" w:rsidRDefault="0034634B">
      <w:pPr>
        <w:pStyle w:val="31"/>
        <w:rPr>
          <w:noProof/>
        </w:rPr>
      </w:pPr>
      <w:bookmarkStart w:id="129" w:name="_Toc508706667"/>
      <w:bookmarkStart w:id="130" w:name="_Toc509391859"/>
      <w:r>
        <w:rPr>
          <w:noProof/>
        </w:rPr>
        <w:t>Περιβαλλοντική ευθύνη</w:t>
      </w:r>
    </w:p>
    <w:p w:rsidR="00EE1CB7" w:rsidRDefault="0034634B">
      <w:pPr>
        <w:rPr>
          <w:noProof/>
        </w:rPr>
      </w:pPr>
      <w:r>
        <w:rPr>
          <w:noProof/>
        </w:rPr>
        <w:t>Η οδηγία για την περιβαλλοντική ευθύνη θεσπίζει ένα πλαίσιο που βασίζεται στην αρχή «ο ρυπαίνων πληρώνει» για την πρόληψη και την αποκατάσταση περιβαλλοντικής ζημίας. Η ΕΕΠΠ του 2017 εστίασε στη συλλογή καλύτερων πληροφοριών σχετικά με τις περιβαλλοντικές ζημίες, τη χρηματοοικονομική ασφάλεια και την καθοδήγηση. Η Επιτροπή εξακολουθεί να συγκεντρώνει στοιχεία σχετικά με τη σημειωθείσα πρόοδο.</w:t>
      </w:r>
    </w:p>
    <w:p w:rsidR="00EE1CB7" w:rsidRDefault="0034634B">
      <w:pPr>
        <w:widowControl w:val="0"/>
        <w:rPr>
          <w:rFonts w:eastAsiaTheme="minorEastAsia"/>
          <w:b/>
          <w:bCs/>
          <w:noProof/>
          <w:color w:val="1F497D" w:themeColor="text2"/>
          <w:sz w:val="22"/>
        </w:rPr>
      </w:pPr>
      <w:r>
        <w:rPr>
          <w:rFonts w:eastAsiaTheme="minorEastAsia"/>
          <w:noProof/>
          <w:color w:val="1F497D" w:themeColor="text2"/>
          <w:sz w:val="22"/>
        </w:rPr>
        <w:t>Δράσεις προτεραιότητας για το 2019</w:t>
      </w:r>
    </w:p>
    <w:p w:rsidR="00EE1CB7" w:rsidRDefault="0034634B">
      <w:pPr>
        <w:pStyle w:val="SuggActions"/>
      </w:pPr>
      <w:r>
        <w:t xml:space="preserve">Καλύτερη ενημέρωση του κοινού σχετικά με τη διασφάλιση, την παρακολούθηση και την επιβολή της συμμόρφωσης. Αυτό θα πρέπει να περιλαμβάνει κατ’ ελάχιστο τα εξής: i) να διασφαλιστεί ότι παρέχεται στους Έλληνες γεωργούς πρακτική ηλεκτρονική πληροφόρηση σχετικά με τη συμμόρφωσή τους με τις υποχρεώσεις που αφορούν τη νιτρορύπανση και τη φύση· και ii) να παρέχεται καλύτερη ηλεκτρονική πληροφόρηση στους πολίτες σχετικά με το πού και πώς μπορούν να υποβάλλουν περιβαλλοντικές καταγγελίες· </w:t>
      </w:r>
    </w:p>
    <w:p w:rsidR="00EE1CB7" w:rsidRDefault="0034634B">
      <w:pPr>
        <w:pStyle w:val="SuggActions"/>
      </w:pPr>
      <w:r>
        <w:t>Δημοσίευση περισσότερων πληροφοριών σχετικά με την έκβαση των ποινικών μέτρων επιβολής της νομοθεσίας και τη συνέχεια που δίδεται στις εντοπισθείσες παραβιάσεις της πολλαπλής συμμόρφωσης ως προς τη νιτρορύπανση και τη φύση.</w:t>
      </w:r>
    </w:p>
    <w:p w:rsidR="00EE1CB7" w:rsidRDefault="0034634B">
      <w:pPr>
        <w:pStyle w:val="SuggActions"/>
      </w:pPr>
      <w:r>
        <w:t>Παροχή περισσότερων πληροφοριών σχετικά με τις πρακτικές πτυχές της συνεργασίας και του συντονισμού μεταξύ επιθεωρητών, αστυνομίας, εισαγγελέων και άλλων φορέων για την καταπολέμηση των περιβαλλοντικών εγκλημάτων.</w:t>
      </w:r>
    </w:p>
    <w:p w:rsidR="00EE1CB7" w:rsidRDefault="0034634B">
      <w:pPr>
        <w:pStyle w:val="SuggActions"/>
      </w:pPr>
      <w:r>
        <w:t>Βελτίωση της χρηματοοικονομικής ασφάλειας για κινδύνους, καθώς και της καθοδήγησης στο πλαίσιο της οδηγίας για την περιβαλλοντική ευθύνη, και δημοσίευση πληροφοριών σχετικά με περιβαλλοντικές ζημίες.</w:t>
      </w:r>
    </w:p>
    <w:p w:rsidR="00EE1CB7" w:rsidRDefault="0034634B">
      <w:pPr>
        <w:pStyle w:val="21"/>
        <w:rPr>
          <w:noProof/>
        </w:rPr>
      </w:pPr>
      <w:bookmarkStart w:id="131" w:name="_Toc525660391"/>
      <w:bookmarkStart w:id="132" w:name="_Toc546038"/>
      <w:bookmarkStart w:id="133" w:name="_Toc13470681"/>
      <w:r>
        <w:rPr>
          <w:noProof/>
        </w:rPr>
        <w:t>Αποτελεσματικότητα των περιβαλλοντικών διοικήσεων</w:t>
      </w:r>
      <w:bookmarkEnd w:id="129"/>
      <w:bookmarkEnd w:id="130"/>
      <w:bookmarkEnd w:id="131"/>
      <w:bookmarkEnd w:id="132"/>
      <w:bookmarkEnd w:id="133"/>
    </w:p>
    <w:p w:rsidR="00EE1CB7" w:rsidRDefault="0034634B">
      <w:pPr>
        <w:widowControl w:val="0"/>
        <w:shd w:val="clear" w:color="auto" w:fill="4F81BD" w:themeFill="accent1"/>
        <w:rPr>
          <w:rFonts w:cs="Times New Roman"/>
          <w:noProof/>
          <w:color w:val="FFFFFF" w:themeColor="background1"/>
        </w:rPr>
      </w:pPr>
      <w:r>
        <w:rPr>
          <w:noProof/>
          <w:color w:val="FFFFFF" w:themeColor="background1"/>
        </w:rPr>
        <w:t>Όσοι ασχολούνται με την εφαρμογή της περιβαλλοντικής νομοθεσίας σε ενωσιακό, εθνικό, περιφερειακό και τοπικό επίπεδο, χρειάζεται να έχουν τη γνώση, τα εργαλεία και την ικανότητα να διασφαλίζουν ότι η νομοθεσία και η διακυβέρνηση της διαδικασίας επιβολής της νομοθεσίας αποφέρουν τα επιδιωκόμενα οφέλη.</w:t>
      </w:r>
    </w:p>
    <w:p w:rsidR="00EE1CB7" w:rsidRDefault="0034634B">
      <w:pPr>
        <w:pStyle w:val="31"/>
        <w:rPr>
          <w:noProof/>
        </w:rPr>
      </w:pPr>
      <w:r>
        <w:rPr>
          <w:noProof/>
        </w:rPr>
        <w:t>Διοικητική ικανότητα και ποιότητα</w:t>
      </w:r>
    </w:p>
    <w:p w:rsidR="00EE1CB7" w:rsidRDefault="0034634B">
      <w:pPr>
        <w:widowControl w:val="0"/>
        <w:rPr>
          <w:rFonts w:eastAsia="Times New Roman" w:cs="Times New Roman"/>
          <w:noProof/>
          <w:color w:val="000000" w:themeColor="text1"/>
        </w:rPr>
      </w:pPr>
      <w:r>
        <w:rPr>
          <w:noProof/>
          <w:color w:val="000000" w:themeColor="text1"/>
        </w:rPr>
        <w:t xml:space="preserve">Οι κεντρικές, περιφερειακές και τοπικές διοικήσεις πρέπει να είναι σε θέση να εκτελούν τα δικά τους καθήκοντα και να συνεργάζονται αποτελεσματικά </w:t>
      </w:r>
      <w:r>
        <w:rPr>
          <w:noProof/>
          <w:color w:val="000000" w:themeColor="text1"/>
        </w:rPr>
        <w:lastRenderedPageBreak/>
        <w:t>μεταξύ τους εντός ενός συστήματος πολυεπίπεδης διακυβέρνησης.</w:t>
      </w:r>
    </w:p>
    <w:p w:rsidR="00EE1CB7" w:rsidRDefault="0034634B">
      <w:pPr>
        <w:widowControl w:val="0"/>
        <w:rPr>
          <w:rFonts w:eastAsia="Times New Roman" w:cs="Times New Roman"/>
          <w:noProof/>
        </w:rPr>
      </w:pPr>
      <w:r>
        <w:rPr>
          <w:noProof/>
        </w:rPr>
        <w:t>Το Υπουργείο Περιβάλλοντος και Ενέργειας (ΥΠΕΝ) είναι αρμόδιο για τη χάραξη συνολικής περιβαλλοντικής πολιτικής, την εκπόνηση σχεδίων και προγραμμάτων και την παρακολούθησή τους. Το Υπουργείο είναι επίσης υπεύθυνο για τη μεταφορά των περιβαλλοντικών οδηγιών της ΕΕ στο εθνικό δίκαιο.</w:t>
      </w:r>
    </w:p>
    <w:p w:rsidR="00EE1CB7" w:rsidRDefault="0034634B">
      <w:pPr>
        <w:widowControl w:val="0"/>
        <w:rPr>
          <w:rFonts w:eastAsia="Times New Roman" w:cs="Times New Roman"/>
          <w:noProof/>
        </w:rPr>
      </w:pPr>
      <w:r>
        <w:rPr>
          <w:noProof/>
        </w:rPr>
        <w:t>Σε αποκεντρωμένο επίπεδο, οι περιφερειακές και δημοτικές αρχές ασκούν, στις γεωγραφικές περιοχές της δικαιοδοσίας τους, ορισμένες περιβαλλοντικές αρμοδιότητες. Οι περιφερειακές και δημοτικές αρχές διασφαλίζουν την πρακτική εφαρμογή διαφόρων περιβαλλοντικών μέτρων, π.χ. σε σχέση με την ποιότητα του νερού, τη διαχείριση των αποβλήτων και τις εκτιμήσεις επιπτώσεων. Σε κεντρικό επίπεδο, από το 2004 λειτουργεί Επιθεώρηση Περιβάλλοντος.</w:t>
      </w:r>
    </w:p>
    <w:p w:rsidR="00EE1CB7" w:rsidRDefault="0034634B">
      <w:pPr>
        <w:widowControl w:val="0"/>
        <w:rPr>
          <w:rFonts w:eastAsia="Times New Roman" w:cs="Times New Roman"/>
          <w:noProof/>
        </w:rPr>
      </w:pPr>
      <w:r>
        <w:rPr>
          <w:noProof/>
        </w:rPr>
        <w:t>Η τήρηση των προθεσμιών και των απαιτήσεων που καθορίζονται στην περιβαλλοντική νομοθεσία της ΕΕ είναι ένας τομέας που φαίνεται ότι παρουσιάζει ακόμη προβλήματα. Οι δυσχέρειες μπορούν να εξηγηθούν από τους σχετικά λίγους (και μειούμενους στη διάρκεια των τελευταίων ετών) ανθρώπινους πόρους που ασχολούνται με τον χειρισμό του εκτενέστατου σώματος της περιβαλλοντικής νομοθεσίας της ΕΕ, σε συνδυασμό με τον συνωστισμό που δημιουργείται από τις μακρές και πολύπλοκες διοικητικές διαδικασίες, στις οποίες συχνά εμπλέκονται πολλοί παράγοντες από διάφορα επίπεδα της δημόσιας διοίκησης.</w:t>
      </w:r>
    </w:p>
    <w:p w:rsidR="00EE1CB7" w:rsidRDefault="0034634B">
      <w:pPr>
        <w:widowControl w:val="0"/>
        <w:rPr>
          <w:rFonts w:eastAsia="Times New Roman" w:cs="Times New Roman"/>
          <w:noProof/>
        </w:rPr>
      </w:pPr>
      <w:r>
        <w:rPr>
          <w:rFonts w:cs="Times New Roman"/>
          <w:i/>
          <w:noProof/>
          <w:lang w:bidi="ar-SA"/>
        </w:rPr>
        <w:drawing>
          <wp:inline distT="0" distB="0" distL="0" distR="0">
            <wp:extent cx="2980055" cy="19856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hellenic parliam iStock_43773110_SMALL.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980055" cy="1985645"/>
                    </a:xfrm>
                    <a:prstGeom prst="rect">
                      <a:avLst/>
                    </a:prstGeom>
                  </pic:spPr>
                </pic:pic>
              </a:graphicData>
            </a:graphic>
          </wp:inline>
        </w:drawing>
      </w:r>
    </w:p>
    <w:p w:rsidR="00EE1CB7" w:rsidRDefault="0034634B">
      <w:pPr>
        <w:widowControl w:val="0"/>
        <w:rPr>
          <w:rFonts w:eastAsia="Times New Roman" w:cs="Times New Roman"/>
          <w:noProof/>
        </w:rPr>
      </w:pPr>
      <w:r>
        <w:rPr>
          <w:noProof/>
        </w:rPr>
        <w:t xml:space="preserve">Ο αριθμός των εκκρεμών διαδικασιών επί παραβάσει είναι πολύ μεγάλος (23 υποθέσεις επί παραβάσει, εκ των οποίων 12 βάσει του άρθρου 258 και 11 βάσει του άρθρου 260). Γενικά, δεν υπάρχουν σημαντικά προβλήματα όσον αφορά την ποιότητα της μεταφοράς των οδηγιών της ΕΕ στο εθνικό δίκαιο. Τα προβλήματα σχετίζονται γενικά με την εφαρμογή τους. Το Δικαστήριο έχει επιβάλει πρόστιμα στην Ελλάδα για μη συμμόρφωση με τις διατάξεις του ενωσιακού δικαίου στους τομείς της επεξεργασίας των στερεών αποβλήτων και των αστικών λυμάτων. Η καταβολή των χρηματικών ποινών εξακολουθεί να εκκρεμεί μέχρι να εκτελεστούν </w:t>
      </w:r>
      <w:r>
        <w:rPr>
          <w:noProof/>
        </w:rPr>
        <w:t>πλήρως οι αποφάσεις του Δικαστηρίου από το κράτος μέλος.</w:t>
      </w:r>
    </w:p>
    <w:p w:rsidR="00EE1CB7" w:rsidRDefault="0034634B">
      <w:pPr>
        <w:pStyle w:val="31"/>
        <w:rPr>
          <w:noProof/>
        </w:rPr>
      </w:pPr>
      <w:bookmarkStart w:id="134" w:name="_Toc454457668"/>
      <w:r>
        <w:rPr>
          <w:noProof/>
        </w:rPr>
        <w:t>Συντονισμός και ενσωμάτωση</w:t>
      </w:r>
    </w:p>
    <w:p w:rsidR="00EE1CB7" w:rsidRDefault="0034634B">
      <w:pPr>
        <w:rPr>
          <w:noProof/>
        </w:rPr>
      </w:pPr>
      <w:r>
        <w:rPr>
          <w:noProof/>
        </w:rPr>
        <w:t>Όπως αναφέρεται στην ΕΕΠΠ του 2017, η μεταφορά της αναθεωρημένης οδηγίας για την εκτίμηση των περιβαλλοντικών επιπτώσεων (ΕΠΕ)</w:t>
      </w:r>
      <w:r>
        <w:rPr>
          <w:rStyle w:val="ae"/>
          <w:noProof/>
        </w:rPr>
        <w:footnoteReference w:id="157"/>
      </w:r>
      <w:r>
        <w:rPr>
          <w:noProof/>
        </w:rPr>
        <w:t xml:space="preserve"> παρέχει στις χώρες την ευκαιρία να εξορθολογίσουν το κανονιστικό τους πλαίσιο που διέπει τις εκτιμήσεις περιβαλλοντικών επιπτώσεων. Η Ελλάδα μετέφερε πλήρως την αναθεωρημένη οδηγία στο εθνικό της δίκαιο, παρόλο που δεν τήρησε την προθεσμία του Μαΐου 2017. </w:t>
      </w:r>
    </w:p>
    <w:p w:rsidR="00EE1CB7" w:rsidRDefault="0034634B">
      <w:pPr>
        <w:rPr>
          <w:rFonts w:eastAsiaTheme="minorEastAsia" w:cstheme="minorEastAsia"/>
          <w:noProof/>
        </w:rPr>
      </w:pPr>
      <w:r>
        <w:rPr>
          <w:noProof/>
        </w:rPr>
        <w:t>Η Επιτροπή ενθαρρύνει τον εξορθολογισμό των εκτιμήσεων περιβαλλοντικών επιπτώσεων, με στόχο τον περιορισμό της επικάλυψης εργασιών και την αποφυγή επικαλύψεων στις εκτιμήσεις περιβαλλοντικών επιπτώσεων στο πλαίσιο έργων. Ο εξορθολογισμός συμβάλλει στη μείωση του περιττού διοικητικού φόρτου. Επίσης, επιταχύνει τη διαδικασία λήψης αποφάσεων, χωρίς υποβάθμιση της ποιότητας της διαδικασίας των εκτιμήσεων περιβαλλοντικών επιπτώσεων</w:t>
      </w:r>
      <w:r>
        <w:rPr>
          <w:rStyle w:val="ae"/>
          <w:noProof/>
        </w:rPr>
        <w:footnoteReference w:id="158"/>
      </w:r>
      <w:r>
        <w:rPr>
          <w:noProof/>
        </w:rPr>
        <w:t>. Η Ελλάδα έχει ξεκινήσει τον εξορθολογισμό των εκτιμήσεων περιβαλλοντικών επιπτώσεων στο πλαίσιο της οδηγίας για την ΕΠΕ, της οδηγίας για τους οικοτόπους και της οδηγίας για τις βιομηχανικές εκπομπές. </w:t>
      </w:r>
    </w:p>
    <w:p w:rsidR="00EE1CB7" w:rsidRDefault="0034634B">
      <w:pPr>
        <w:pStyle w:val="31"/>
        <w:rPr>
          <w:noProof/>
        </w:rPr>
      </w:pPr>
      <w:r>
        <w:rPr>
          <w:noProof/>
        </w:rPr>
        <w:t>Προσαρμοστικότητα, μεταρρυθμιστική δυναμική και καινοτομία (ηλεκτρονική διακυβέρνηση)</w:t>
      </w:r>
    </w:p>
    <w:p w:rsidR="00EE1CB7" w:rsidRDefault="0034634B">
      <w:pPr>
        <w:rPr>
          <w:noProof/>
        </w:rPr>
      </w:pPr>
      <w:r>
        <w:rPr>
          <w:noProof/>
        </w:rPr>
        <w:t>Από την 1η Οκτωβρίου 2010, όλα τα υπουργεία, οι διοικήσεις και οι δημόσιες αρχές πρέπει να τηλεφορτώνουν κάθε διοικητική πράξη —μεγάλη ή μικρή— συμπεριλαμβανομένων αποφάσεων διορισμών, καταβολής επιχορηγήσεων, μετατάξεων προσωπικού, αποφάσεων σχετικά με κρατικές επιδοτήσεις προς πολίτες κ.λπ., στον ιστότοπο «http://diavgeia.gov.gr», μέσω του προγράμματος διαφάνειας «Διαύγεια». Η Διαύγεια αποτελεί μία από τις πλέον σημαντικές πρωτοβουλίες διαφάνειας του Υπουργείου Εσωτερικών και Διοικητικής Ανασυγκρότησης.</w:t>
      </w:r>
    </w:p>
    <w:p w:rsidR="00EE1CB7" w:rsidRDefault="0034634B">
      <w:pPr>
        <w:rPr>
          <w:noProof/>
        </w:rPr>
      </w:pPr>
      <w:r>
        <w:rPr>
          <w:noProof/>
        </w:rPr>
        <w:t xml:space="preserve">Ηλεκτρονικές υπηρεσίες που δρομολογήθηκαν πρόσφατα χρησιμοποιούνται κατά τις διαδικασίες δημόσιων διαβουλεύσεων και για την υποβολή καταγγελιών. Στα παραδείγματα ηλεκτρονικών υπηρεσιών περιλαμβάνονται τα εξής: i) διαδικτυακές </w:t>
      </w:r>
      <w:r>
        <w:rPr>
          <w:noProof/>
        </w:rPr>
        <w:lastRenderedPageBreak/>
        <w:t>πλατφόρμες που χρησιμοποιούνται από την Ειδική Γραμματεία Υδάτων (ΕΓΥ) του ΥΠΕΝ κατά τη διαδικασία διαβούλευσης για τα σχέδια διαχείρισης λεκάνης απορροής ποταμού και τα σχέδια διαχείρισης των κινδύνων πλημμύρας της Ελλάδας· ii) ιστότοπος «Ανοικτή Διακυβέρνηση», στον οποίο οι πολίτες μπορούν να ενημερώνονται και να συμμετέχουν σε δημόσιες διαβουλεύσεις· iii) πλατφόρμα του Ηλεκτρονικού Περιβαλλοντικού Μητρώου (ΗΠΜ)· iv) ιστότοπος για τις Αποφάσεις Έγκρισης Περιβαλλοντικών Όρων (ΑΕΠΟ)· και v) διαδικτυακή πλατφόρμα της Περιφέρειας Αττικής για την υποβολή καταγγελιών.</w:t>
      </w:r>
    </w:p>
    <w:p w:rsidR="00EE1CB7" w:rsidRDefault="0034634B">
      <w:pPr>
        <w:rPr>
          <w:noProof/>
        </w:rPr>
      </w:pPr>
      <w:r>
        <w:rPr>
          <w:noProof/>
        </w:rPr>
        <w:t>Στην έκθεση του Δείκτη Ψηφιακής Οικονομίας και Κοινωνίας 2018, η επίδοση της Ελλάδας στις ψηφιακές δημόσιες υπηρεσίες ήταν 40 με άριστα το 100, χαμηλότερη από τον μέσο όρο της ΕΕ (58)</w:t>
      </w:r>
      <w:r>
        <w:rPr>
          <w:rStyle w:val="ae"/>
          <w:rFonts w:cstheme="minorHAnsi"/>
          <w:noProof/>
        </w:rPr>
        <w:footnoteReference w:id="159"/>
      </w:r>
      <w:r>
        <w:rPr>
          <w:noProof/>
        </w:rPr>
        <w:t>.</w:t>
      </w:r>
    </w:p>
    <w:p w:rsidR="00EE1CB7" w:rsidRDefault="0034634B">
      <w:pPr>
        <w:pStyle w:val="31"/>
        <w:rPr>
          <w:noProof/>
        </w:rPr>
      </w:pPr>
      <w:r>
        <w:rPr>
          <w:noProof/>
        </w:rPr>
        <w:t>Διευκόλυνση της χρηματοδότησης και αποτελεσματική χρήση των πόρων</w:t>
      </w:r>
    </w:p>
    <w:p w:rsidR="00EE1CB7" w:rsidRDefault="0034634B">
      <w:pPr>
        <w:rPr>
          <w:rFonts w:eastAsiaTheme="minorEastAsia"/>
          <w:noProof/>
          <w:color w:val="1F497D" w:themeColor="text2"/>
          <w:sz w:val="22"/>
        </w:rPr>
      </w:pPr>
      <w:r>
        <w:rPr>
          <w:noProof/>
        </w:rPr>
        <w:t>Πληροφορίες σχετικά με τις ευκαιρίες δημόσιας χρηματοδότησης για τη βελτίωση του περιβάλλοντος δημοσιεύονται στην ενότητα «Πράσινη Ανάπτυξη» του ιστοτόπου του ΥΠΕΝ και στην ιστοσελίδα «Χρηματοδοτικά Εργαλεία». Οι ευκαιρίες χρηματοδότησης δημοσιεύονται επίσης στους ιστοτόπους του Πράσινου Ταμείου και του ΕΣΠΑ. Η χρηματοδότηση ισχύει και για τους επτά τομείς που αφορούν το περιβάλλον. Επίσης, πληροφορίες σχετικά με τα έργα της ΕΕ δημοσιεύονται σε διάφορους ιστοτόπους, όπως στον ιστότοπο του ΥΠΕΝ, τον ιστότοπο της ελληνικής ειδικής ομάδας για το πρόγραμμα LIFE (Greek LIFE Task Force) και τον ελληνικό ιστότοπο INTERREG.</w:t>
      </w:r>
      <w:r>
        <w:rPr>
          <w:rFonts w:eastAsiaTheme="minorEastAsia"/>
          <w:noProof/>
          <w:color w:val="1F497D" w:themeColor="text2"/>
          <w:sz w:val="22"/>
        </w:rPr>
        <w:t xml:space="preserve"> </w:t>
      </w:r>
    </w:p>
    <w:p w:rsidR="00EE1CB7" w:rsidRDefault="0034634B">
      <w:pPr>
        <w:pStyle w:val="a9"/>
        <w:widowControl w:val="0"/>
        <w:ind w:left="0"/>
        <w:rPr>
          <w:rFonts w:asciiTheme="minorHAnsi" w:eastAsiaTheme="minorEastAsia" w:hAnsiTheme="minorHAnsi" w:cstheme="minorBidi"/>
          <w:noProof/>
          <w:color w:val="1F497D" w:themeColor="text2"/>
          <w:sz w:val="22"/>
        </w:rPr>
      </w:pPr>
      <w:r>
        <w:rPr>
          <w:rFonts w:asciiTheme="minorHAnsi" w:eastAsiaTheme="minorEastAsia" w:hAnsiTheme="minorHAnsi" w:cstheme="minorBidi"/>
          <w:noProof/>
          <w:color w:val="1F497D" w:themeColor="text2"/>
          <w:sz w:val="22"/>
        </w:rPr>
        <w:t>Δράσεις προτεραιότητας για το 2019</w:t>
      </w:r>
    </w:p>
    <w:p w:rsidR="00EE1CB7" w:rsidRDefault="0034634B">
      <w:pPr>
        <w:pStyle w:val="SuggActions"/>
      </w:pPr>
      <w:r>
        <w:t>Απλοποίηση των διοικητικών διαδικασιών για το περιβάλλον και βελτίωση της συνεργασίας μεταξύ των δημόσιων αρχών (σε εθνικό, περιφερειακό και τοπικό επίπεδο) που εμπλέκονται στην εφαρμογή των περιβαλλοντικών πολιτικών.</w:t>
      </w:r>
    </w:p>
    <w:p w:rsidR="00EE1CB7" w:rsidRDefault="0034634B">
      <w:pPr>
        <w:pStyle w:val="SuggActions"/>
      </w:pPr>
      <w:r>
        <w:t>Η Ελλάδα μπορεί να βελτιώσει περαιτέρω τη συνολική της περιβαλλοντική διακυβέρνηση (όπως διαφάνεια, συμμετοχή των πολιτών, συμμόρφωση και επιβολή της νομοθεσίας, καθώς και διοικητική ικανότητα και συντονισμός).</w:t>
      </w:r>
    </w:p>
    <w:p w:rsidR="00EE1CB7" w:rsidRDefault="00AA0B88">
      <w:pPr>
        <w:pStyle w:val="21"/>
        <w:rPr>
          <w:noProof/>
        </w:rPr>
      </w:pPr>
      <w:bookmarkStart w:id="135" w:name="_Toc509391861"/>
      <w:bookmarkStart w:id="136" w:name="_Toc525660392"/>
      <w:bookmarkStart w:id="137" w:name="_Toc546039"/>
      <w:bookmarkStart w:id="138" w:name="_Toc13470682"/>
      <w:bookmarkEnd w:id="134"/>
      <w:r>
        <w:rPr>
          <w:noProof/>
        </w:rPr>
        <w:br w:type="column"/>
      </w:r>
      <w:r w:rsidR="0034634B">
        <w:rPr>
          <w:noProof/>
        </w:rPr>
        <w:t>Διεθνείς συμφωνίες</w:t>
      </w:r>
      <w:bookmarkEnd w:id="135"/>
      <w:bookmarkEnd w:id="136"/>
      <w:bookmarkEnd w:id="137"/>
      <w:bookmarkEnd w:id="138"/>
    </w:p>
    <w:p w:rsidR="00EE1CB7" w:rsidRDefault="0034634B">
      <w:pPr>
        <w:widowControl w:val="0"/>
        <w:shd w:val="clear" w:color="auto" w:fill="4F81BD" w:themeFill="accent1"/>
        <w:spacing w:after="240"/>
        <w:rPr>
          <w:noProof/>
          <w:color w:val="FFFFFF" w:themeColor="background1"/>
          <w:sz w:val="22"/>
        </w:rPr>
      </w:pPr>
      <w:r>
        <w:rPr>
          <w:noProof/>
          <w:color w:val="FFFFFF" w:themeColor="background1"/>
        </w:rPr>
        <w:t>Οι Συνθήκες της ΕΕ ορίζουν ότι η ενωσιακή πολιτική για το περιβάλλον πρέπει να προάγει μέτρα σε διεθνές επίπεδο για την αντιμετώπιση των περιφερειακών ή παγκόσμιων περιβαλλοντικών προβλημάτων.</w:t>
      </w:r>
    </w:p>
    <w:p w:rsidR="00EE1CB7" w:rsidRDefault="0034634B">
      <w:pPr>
        <w:rPr>
          <w:noProof/>
        </w:rPr>
      </w:pPr>
      <w:r>
        <w:rPr>
          <w:noProof/>
        </w:rPr>
        <w:t>Η ΕΕ έχει δεσμευτεί να ενισχύσει την περιβαλλοντική νομοθεσία και την εφαρμογή της σε παγκόσμιο επίπεδο. Ως εκ τούτου, εξακολουθεί να στηρίζει τη διαδικασία του Παγκόσμιου Συμφώνου για το Περιβάλλον, το οποίο εγκρίθηκε από τη Γενική Συνέλευση των Ηνωμένων Εθνών (ΟΗΕ) τον Μάιο του 2018</w:t>
      </w:r>
      <w:r>
        <w:rPr>
          <w:rStyle w:val="ae"/>
          <w:noProof/>
        </w:rPr>
        <w:footnoteReference w:id="160"/>
      </w:r>
      <w:r>
        <w:rPr>
          <w:noProof/>
        </w:rPr>
        <w:t xml:space="preserve">. Η ΕΕΠΠ είναι ένα από τα εργαλεία με τα οποία διασφαλίζεται ότι τα κράτη μέλη δίνουν το καλό παράδειγμα τηρώντας τις ενωσιακές περιβαλλοντικές πολιτικές, τους νόμους και τις διεθνείς συμφωνίες. </w:t>
      </w:r>
    </w:p>
    <w:p w:rsidR="00EE1CB7" w:rsidRDefault="0034634B">
      <w:pPr>
        <w:rPr>
          <w:noProof/>
          <w:szCs w:val="20"/>
        </w:rPr>
      </w:pPr>
      <w:r>
        <w:rPr>
          <w:noProof/>
        </w:rPr>
        <w:t>Επί του παρόντος, η Ελλάδα έχει υπογράψει, αλλά δεν έχει ακόμη επικυρώσει, μια σειρά συνθήκες, ήτοι:</w:t>
      </w:r>
    </w:p>
    <w:p w:rsidR="00EE1CB7" w:rsidRDefault="0034634B">
      <w:pPr>
        <w:pStyle w:val="a9"/>
        <w:numPr>
          <w:ilvl w:val="0"/>
          <w:numId w:val="39"/>
        </w:numPr>
        <w:rPr>
          <w:noProof/>
        </w:rPr>
      </w:pPr>
      <w:r>
        <w:rPr>
          <w:noProof/>
        </w:rPr>
        <w:t>το πρωτόκολλο υπεράκτιων δραστηριοτήτων της σύμβασης της Βαρκελώνης·</w:t>
      </w:r>
    </w:p>
    <w:p w:rsidR="00EE1CB7" w:rsidRDefault="0034634B">
      <w:pPr>
        <w:pStyle w:val="a9"/>
        <w:numPr>
          <w:ilvl w:val="0"/>
          <w:numId w:val="39"/>
        </w:numPr>
        <w:rPr>
          <w:noProof/>
        </w:rPr>
      </w:pPr>
      <w:r>
        <w:rPr>
          <w:noProof/>
        </w:rPr>
        <w:t>το πρωτόκολλο για τις ειδικά προστατευόμενες περιοχές και τη βιοποικιλότητα στη Μεσόγειο·</w:t>
      </w:r>
    </w:p>
    <w:p w:rsidR="00EE1CB7" w:rsidRDefault="0034634B">
      <w:pPr>
        <w:pStyle w:val="a9"/>
        <w:numPr>
          <w:ilvl w:val="0"/>
          <w:numId w:val="39"/>
        </w:numPr>
        <w:rPr>
          <w:noProof/>
        </w:rPr>
      </w:pPr>
      <w:r>
        <w:rPr>
          <w:noProof/>
        </w:rPr>
        <w:t>το πρωτόκολλο για την ολοκληρωμένη διαχείριση των παρακτίων ζωνών·</w:t>
      </w:r>
    </w:p>
    <w:p w:rsidR="00EE1CB7" w:rsidRDefault="0034634B">
      <w:pPr>
        <w:pStyle w:val="a9"/>
        <w:numPr>
          <w:ilvl w:val="0"/>
          <w:numId w:val="39"/>
        </w:numPr>
        <w:rPr>
          <w:noProof/>
        </w:rPr>
      </w:pPr>
      <w:r>
        <w:rPr>
          <w:noProof/>
        </w:rPr>
        <w:t>τρεις συμφωνίες στο πλαίσιο της σύμβασης σχετικά με τη διαμεθοριακή ρύπανση της ατμόσφαιρας σε μεγάλη απόσταση</w:t>
      </w:r>
      <w:r>
        <w:rPr>
          <w:rStyle w:val="ae"/>
          <w:noProof/>
        </w:rPr>
        <w:footnoteReference w:id="161"/>
      </w:r>
      <w:r>
        <w:rPr>
          <w:noProof/>
        </w:rPr>
        <w:t>·</w:t>
      </w:r>
    </w:p>
    <w:p w:rsidR="00EE1CB7" w:rsidRDefault="0034634B">
      <w:pPr>
        <w:pStyle w:val="a9"/>
        <w:numPr>
          <w:ilvl w:val="0"/>
          <w:numId w:val="39"/>
        </w:numPr>
        <w:rPr>
          <w:noProof/>
        </w:rPr>
      </w:pPr>
      <w:r>
        <w:rPr>
          <w:noProof/>
        </w:rPr>
        <w:t>το πρωτόκολλο του Κιέβου περί των μητρώων έκλυσης και μεταφοράς ρύπων·</w:t>
      </w:r>
    </w:p>
    <w:p w:rsidR="00EE1CB7" w:rsidRDefault="0034634B">
      <w:pPr>
        <w:pStyle w:val="a9"/>
        <w:numPr>
          <w:ilvl w:val="0"/>
          <w:numId w:val="39"/>
        </w:numPr>
        <w:rPr>
          <w:noProof/>
        </w:rPr>
      </w:pPr>
      <w:r>
        <w:rPr>
          <w:noProof/>
        </w:rPr>
        <w:t>τη συμφωνία για τη διατήρηση των αποδημητικών υδρόβιων πτηνών της Αφρικής και της Ευρασίας· και</w:t>
      </w:r>
    </w:p>
    <w:p w:rsidR="00EE1CB7" w:rsidRDefault="0034634B">
      <w:pPr>
        <w:pStyle w:val="a9"/>
        <w:numPr>
          <w:ilvl w:val="0"/>
          <w:numId w:val="39"/>
        </w:numPr>
        <w:rPr>
          <w:noProof/>
        </w:rPr>
      </w:pPr>
      <w:r>
        <w:rPr>
          <w:noProof/>
        </w:rPr>
        <w:t>το πρωτόκολλο για τη στρατηγική περιβαλλοντική εκτίμηση της σύμβασης του Espoo.</w:t>
      </w:r>
    </w:p>
    <w:p w:rsidR="00AA0B88" w:rsidRPr="00AA0B88" w:rsidRDefault="0034634B">
      <w:pPr>
        <w:rPr>
          <w:noProof/>
        </w:rPr>
      </w:pPr>
      <w:r>
        <w:rPr>
          <w:noProof/>
        </w:rPr>
        <w:t>Επίσης, η Ελλάδα δεν έχει υπογράψει ή επικυρώσει τη Διεθνή Σύμβαση για τη ρύθμιση της φαλαινοθηρίας.</w:t>
      </w:r>
    </w:p>
    <w:p w:rsidR="00EE1CB7" w:rsidRDefault="0034634B">
      <w:pPr>
        <w:pStyle w:val="31"/>
        <w:rPr>
          <w:rFonts w:ascii="Times New Roman" w:eastAsia="Times New Roman" w:hAnsi="Times New Roman"/>
          <w:noProof/>
          <w:sz w:val="24"/>
          <w:szCs w:val="24"/>
        </w:rPr>
      </w:pPr>
      <w:r>
        <w:rPr>
          <w:noProof/>
        </w:rPr>
        <w:t xml:space="preserve">Δάση: Κανονισμός της ΕΕ για την ξυλεία </w:t>
      </w:r>
      <w:r>
        <w:rPr>
          <w:rStyle w:val="ae"/>
          <w:rFonts w:ascii="Calibri,Times New Roman" w:hAnsi="Calibri,Times New Roman"/>
          <w:b w:val="0"/>
          <w:noProof/>
        </w:rPr>
        <w:footnoteReference w:id="162"/>
      </w:r>
      <w:r>
        <w:rPr>
          <w:noProof/>
        </w:rPr>
        <w:t>/</w:t>
      </w:r>
      <w:r>
        <w:rPr>
          <w:rFonts w:asciiTheme="minorHAnsi" w:eastAsiaTheme="minorEastAsia" w:hAnsiTheme="minorHAnsi" w:cstheme="minorBidi"/>
          <w:noProof/>
          <w:color w:val="1F497D" w:themeColor="text2"/>
        </w:rPr>
        <w:t xml:space="preserve"> </w:t>
      </w:r>
      <w:r>
        <w:rPr>
          <w:noProof/>
        </w:rPr>
        <w:t>κανονισμός για την επιβολή της δασικής νομοθεσίας, τη διακυβέρνηση και το εμπόριο</w:t>
      </w:r>
      <w:r>
        <w:rPr>
          <w:rStyle w:val="ae"/>
          <w:rFonts w:ascii="Calibri,Times New Roman" w:hAnsi="Calibri,Times New Roman"/>
          <w:b w:val="0"/>
          <w:noProof/>
        </w:rPr>
        <w:footnoteReference w:id="163"/>
      </w:r>
    </w:p>
    <w:p w:rsidR="00EE1CB7" w:rsidRDefault="0034634B">
      <w:pPr>
        <w:rPr>
          <w:noProof/>
        </w:rPr>
      </w:pPr>
      <w:r>
        <w:rPr>
          <w:noProof/>
        </w:rPr>
        <w:lastRenderedPageBreak/>
        <w:t>Από τον Μάρτιο του 2015 έως τον Φεβρουάριο του 2017, η Ελλάδα διενήργησε το 88 % εκ των 237 ελέγχων που είχαν προγραμματιστεί σε φορείς εκμετάλλευσης εγχώριας ξυλείας, και το 85 % εκ των 86 ελέγχων που είχαν προγραμματιστεί σε φορείς εκμετάλλευσης εισαγόμενης ξυλείας. Αυτά τα ποσοστά είναι σχετικά χαμηλά εάν συγκριθούν με τους εκτιμώμενους 1 930 ελληνικούς φορείς εκμετάλλευσης ξυλείας που διαθέτουν εγχώρια ξυλεία στην αγορά της ΕΕ και τους 604 εισαγωγείς ξυλείας. Παρότι στην Ελλάδα οι παραβιάσεις του κανονισμού της ΕΕ για την ξυλεία τιμωρούνται με φυλάκιση, με πιθανή επιβολή δεκαετούς ποινής φυλάκισης για τα άτομα που μεταφέρουν παράνομη ξυλεία, μέχρι στιγμής δεν έχουν επιβληθεί τέτοιου είδους κυρώσεις σε φορείς εκμετάλλευσης που παραβιάζουν τους κανόνες.</w:t>
      </w:r>
    </w:p>
    <w:p w:rsidR="00EE1CB7" w:rsidRDefault="0034634B">
      <w:pPr>
        <w:rPr>
          <w:noProof/>
        </w:rPr>
      </w:pPr>
      <w:r>
        <w:rPr>
          <w:noProof/>
        </w:rPr>
        <w:t>Όσον αφορά τη συνεργασία (άρθρο 12 του κανονισμού της ΕΕ για την ξυλεία), η Ελλάδα αναφέρει ότι έχει συνεργαστεί τόσο με τις αρμόδιες αρχές της όσο και με όργανα της ΕΕ. Η Ελλάδα συμμετέχει επί του παρόντος στο μεσογειακό δίκτυο για την εφαρμογή του κανονισμού της ΕΕ για την ξυλεία.</w:t>
      </w:r>
    </w:p>
    <w:p w:rsidR="00EE1CB7" w:rsidRDefault="0034634B">
      <w:pPr>
        <w:rPr>
          <w:noProof/>
        </w:rPr>
      </w:pPr>
      <w:r>
        <w:rPr>
          <w:rFonts w:ascii="Calibri" w:hAnsi="Calibri"/>
          <w:noProof/>
        </w:rPr>
        <w:t>Εμπειρογνώμονες της αρχής που είναι αρμόδια για τον κανονισμό της ΕΕ για την ξυλεία συμμετείχαν σε εργαστήριο μέσω του εργαλείου TAIEX-EIR Peer 2 Peer για την ενίσχυση της συνεργασίας μεταξύ των αρμόδιων αρχών οκτώ μεσογειακών χωρών της ΕΕ. Στόχος ήταν η βελτίωση και εναρμόνιση της εφαρμογής του κανονισμού της ΕΕ για την ξυλεία στην περιοχή της Μεσογείου. Εμπειρογνώμονες από τις Κάτω Χώρες και τη Δανία μοιράστηκαν τις εμπειρίες τους από το δίκτυο βόρειων και βαλτικών χωρών για την εφαρμογή του κανονισμού της ΕΕ για την ξυλεία.</w:t>
      </w:r>
    </w:p>
    <w:p w:rsidR="00EE1CB7" w:rsidRDefault="0034634B">
      <w:pPr>
        <w:rPr>
          <w:b/>
          <w:noProof/>
          <w:color w:val="1F497D" w:themeColor="text2"/>
        </w:rPr>
      </w:pPr>
      <w:r>
        <w:rPr>
          <w:b/>
          <w:noProof/>
          <w:color w:val="1F497D" w:themeColor="text2"/>
        </w:rPr>
        <w:t>Γενετικοί πόροι: Πρωτόκολλο της Ναγκόγια για την πρόσβαση στους γενετικούς πόρους και τον δίκαιο και ισότιμο καταμερισμό των οφελών που απορρέουν από τη χρησιμοποίησή τους</w:t>
      </w:r>
      <w:r>
        <w:rPr>
          <w:rStyle w:val="ae"/>
          <w:b/>
          <w:noProof/>
          <w:color w:val="1F497D" w:themeColor="text2"/>
        </w:rPr>
        <w:footnoteReference w:id="164"/>
      </w:r>
      <w:r>
        <w:rPr>
          <w:b/>
          <w:noProof/>
          <w:color w:val="1F497D" w:themeColor="text2"/>
        </w:rPr>
        <w:t xml:space="preserve"> </w:t>
      </w:r>
    </w:p>
    <w:p w:rsidR="00EE1CB7" w:rsidRDefault="0034634B">
      <w:pPr>
        <w:rPr>
          <w:noProof/>
          <w:szCs w:val="20"/>
        </w:rPr>
      </w:pPr>
      <w:r>
        <w:rPr>
          <w:noProof/>
        </w:rPr>
        <w:t>Παρά τις διατάξεις του κανονισμού ΠΚΟ της ΕΕ, ο οποίος μεταφέρει στο ενωσιακό δίκαιο τα απαραίτητα μέτρα συμμόρφωσης βάσει του πρωτοκόλλου της Ναγκόγια, η Ελλάδα δεν έχει ορίσει αρμόδιες αρχές για τους γενετικούς πόρους. Επιπλέον, δεν έχει καθορίσει κανόνες για κυρώσεις ούτε έχει υποβάλει τις υποχρεωτικές εκθέσεις.</w:t>
      </w:r>
    </w:p>
    <w:p w:rsidR="00EE1CB7" w:rsidRDefault="0034634B">
      <w:pPr>
        <w:pStyle w:val="31"/>
        <w:rPr>
          <w:noProof/>
        </w:rPr>
      </w:pPr>
      <w:r>
        <w:rPr>
          <w:noProof/>
        </w:rPr>
        <w:t>Διεθνές εμπόριο άγριων ειδών: σύμβαση για το διεθνές εμπόριο ειδών άγριας πανίδας και χλωρίδας που απειλούνται με εξαφάνιση (CITES)</w:t>
      </w:r>
      <w:r>
        <w:rPr>
          <w:rStyle w:val="ae"/>
          <w:noProof/>
          <w:color w:val="1F497D" w:themeColor="text2"/>
        </w:rPr>
        <w:footnoteReference w:id="165"/>
      </w:r>
    </w:p>
    <w:p w:rsidR="00EE1CB7" w:rsidRDefault="0034634B">
      <w:pPr>
        <w:rPr>
          <w:noProof/>
          <w:szCs w:val="20"/>
        </w:rPr>
      </w:pPr>
      <w:r>
        <w:rPr>
          <w:noProof/>
        </w:rPr>
        <w:t>Σύμφωνα με τις υποχρεώσεις που ορίζονται στον βασικό κανονισμό</w:t>
      </w:r>
      <w:r>
        <w:rPr>
          <w:rStyle w:val="ae"/>
          <w:rFonts w:cstheme="minorHAnsi"/>
          <w:noProof/>
        </w:rPr>
        <w:footnoteReference w:id="166"/>
      </w:r>
      <w:r>
        <w:rPr>
          <w:noProof/>
        </w:rPr>
        <w:t xml:space="preserve"> με τον οποίο μεταφέρονται στο δίκαιο της ΕΕ οι κύριες υποχρεώσεις της σύμβασης για το διεθνές εμπόριο ειδών άγριας πανίδας και χλωρίδας που απειλούνται με εξαφάνιση (CITES), η Ελλάδα έχει θεσπίσει αρμόδιες εθνικές αρχές και διεκπεραιώνει (αιτήσεις για) έγγραφα εισαγωγής, (επαν)εξαγωγής και εμπόριο στο εσωτερικό της ΕΕ σε τακτική βάση.</w:t>
      </w:r>
    </w:p>
    <w:p w:rsidR="00EE1CB7" w:rsidRDefault="0034634B">
      <w:pPr>
        <w:rPr>
          <w:noProof/>
          <w:szCs w:val="20"/>
        </w:rPr>
      </w:pPr>
      <w:r>
        <w:rPr>
          <w:noProof/>
        </w:rPr>
        <w:t xml:space="preserve">Η δραστηριότητα των τελωνειακών αρχών προκύπτει από εκθέσεις κατασχέσεων παράνομων φορτίων άγριας ζωής (ιδίως από εκθέσεις που υποβάλλονται ανά εξάμηνο στο TRAFFIC στο πλαίσιο της σύμβασης που έχει συνάψει με την Επιτροπή, και εκθέσεις που ανταλλάσσονται μέσω της πλατφόρμας </w:t>
      </w:r>
      <w:hyperlink r:id="rId144">
        <w:r>
          <w:rPr>
            <w:noProof/>
          </w:rPr>
          <w:t>EU-TWIX</w:t>
        </w:r>
      </w:hyperlink>
      <w:r>
        <w:rPr>
          <w:noProof/>
        </w:rPr>
        <w:t>). Για να διασφαλίζει την πλήρη εφαρμογή του σχεδίου δράσης, η Ελλάδα εξέδωσε εθνικές κατευθυντήριες γραμμές που βοηθούν τους υπαλλήλους υπηρεσιών επιβολής της νομοθεσίας στους ελέγχους που διενεργούν, ιδίως όσον αφορά τον εντοπισμό προστατευόμενων ειδών.</w:t>
      </w:r>
    </w:p>
    <w:p w:rsidR="00EE1CB7" w:rsidRDefault="0034634B">
      <w:pPr>
        <w:widowControl w:val="0"/>
        <w:rPr>
          <w:rFonts w:eastAsiaTheme="minorEastAsia"/>
          <w:noProof/>
          <w:color w:val="1F497D" w:themeColor="text2"/>
          <w:sz w:val="22"/>
        </w:rPr>
      </w:pPr>
      <w:bookmarkStart w:id="139" w:name="_Toc508706670"/>
      <w:bookmarkStart w:id="140" w:name="_Toc509391862"/>
      <w:r>
        <w:rPr>
          <w:rFonts w:eastAsiaTheme="minorEastAsia"/>
          <w:noProof/>
          <w:color w:val="1F497D" w:themeColor="text2"/>
          <w:sz w:val="22"/>
        </w:rPr>
        <w:t>Δράση προτεραιότητας για το 2019</w:t>
      </w:r>
    </w:p>
    <w:p w:rsidR="00EE1CB7" w:rsidRDefault="0034634B">
      <w:pPr>
        <w:pStyle w:val="SuggActions"/>
      </w:pPr>
      <w:r>
        <w:t>Εντατικοποίηση των προσπαθειών για υπογραφή και επικύρωση των υπόλοιπων σχετικών πολυμερών περιβαλλοντικών συμφωνιών.</w:t>
      </w:r>
    </w:p>
    <w:p w:rsidR="00EE1CB7" w:rsidRDefault="0034634B">
      <w:pPr>
        <w:pStyle w:val="21"/>
        <w:jc w:val="both"/>
        <w:rPr>
          <w:noProof/>
        </w:rPr>
      </w:pPr>
      <w:bookmarkStart w:id="141" w:name="_Toc525660393"/>
      <w:bookmarkStart w:id="142" w:name="_Toc546040"/>
      <w:bookmarkStart w:id="143" w:name="_Toc13470683"/>
      <w:r>
        <w:rPr>
          <w:noProof/>
        </w:rPr>
        <w:t>Βιώσιμη ανάπτυξη και υλοποίηση των Στόχων Βιώσιμης Ανάπτυξης (ΣΒΑ) του ΟΗΕ</w:t>
      </w:r>
      <w:bookmarkEnd w:id="139"/>
      <w:bookmarkEnd w:id="140"/>
      <w:bookmarkEnd w:id="141"/>
      <w:bookmarkEnd w:id="142"/>
      <w:bookmarkEnd w:id="143"/>
    </w:p>
    <w:p w:rsidR="00EE1CB7" w:rsidRDefault="0034634B">
      <w:pPr>
        <w:shd w:val="clear" w:color="auto" w:fill="4F81BD" w:themeFill="accent1"/>
        <w:rPr>
          <w:rFonts w:eastAsia="Times New Roman"/>
          <w:noProof/>
          <w:color w:val="FFFFFF" w:themeColor="background1"/>
        </w:rPr>
      </w:pPr>
      <w:r>
        <w:rPr>
          <w:noProof/>
          <w:color w:val="FFFFFF" w:themeColor="background1"/>
        </w:rPr>
        <w:t>Η βιώσιμη ανάπτυξη συνδέει τις περιβαλλοντικές, κοινωνικές και οικονομικές πολιτικές σε ένα συνεκτικό πλαίσιο και, ως εκ τούτου, συμβάλλει στην εφαρμογή της νομοθεσίας και των πολιτικών για το περιβάλλον.</w:t>
      </w:r>
    </w:p>
    <w:p w:rsidR="00EE1CB7" w:rsidRDefault="0034634B">
      <w:pPr>
        <w:rPr>
          <w:noProof/>
        </w:rPr>
      </w:pPr>
      <w:r>
        <w:rPr>
          <w:noProof/>
        </w:rPr>
        <w:t xml:space="preserve">Η πρώτη Εθνική Στρατηγική για την Αειφόρο Ανάπτυξη (ΕΣΑΑ) εγκρίθηκε από το Υπουργικό Συμβούλιο το 2002. Το 2010 καταρτίστηκε το «Πρόγραμμα Αναπτυξιακών Παρεμβάσεων για την Πραγματική Οικονομία», σε ευθυγράμμιση με τη στρατηγική «Ευρώπη 2020» της ΕΕ, το οποίο εστίαζε στην αποδοτική χρήση των πόρων και τη μετάβαση σε μια οικονομία χαμηλών ανθρακούχων εκπομπών και, έως το 2013, αποτελούσε το στρατηγικό πλαίσιο αναφοράς της χώρας για τη βιώσιμη ανάπτυξη, ωστόσο όχι ως ΕΣΑΑ. </w:t>
      </w:r>
    </w:p>
    <w:p w:rsidR="00EE1CB7" w:rsidRDefault="0034634B">
      <w:pPr>
        <w:rPr>
          <w:noProof/>
        </w:rPr>
      </w:pPr>
      <w:r>
        <w:rPr>
          <w:noProof/>
        </w:rPr>
        <w:t xml:space="preserve">Από τον Δεκέμβριο του 2016, όσον αφορά την υλοποίηση των ΣΒΑ σε εθνικό επίπεδο, η αρμόδια κεντρική αρχή για τον συντονισμό και την </w:t>
      </w:r>
      <w:r>
        <w:rPr>
          <w:noProof/>
        </w:rPr>
        <w:lastRenderedPageBreak/>
        <w:t xml:space="preserve">παρακολούθηση της πορείας υλοποίησης των Στόχων Βιώσιμης Ανάπτυξης είναι το Γραφείο Συντονισμού, Θεσμικών, Διεθνών και Ευρωπαϊκών Θεμάτων της Γενικής Γραμματείας της Κυβέρνησης (ΓΓΚ) (όπως ορίζεται στο άρθρο 43 του νόμου 4440/2016). Πραγματοποιήθηκε εκ νέου σύσταση ενεργού διυπουργικού συντονιστικού δικτύου για τους ΣΒΑ υπό τον συντονισμό της ΓΓΚ, το οποίο διεξάγει σχετικά τακτικές συναντήσεις και, ως εκ τούτου, συμβάλλει στην οριζόντια και κάθετη ενσωμάτωση των ΣΒΑ στις δραστηριότητες χάραξης πολιτικής όλων των αρμόδιων υπουργείων. </w:t>
      </w:r>
    </w:p>
    <w:p w:rsidR="00EE1CB7" w:rsidRDefault="0034634B">
      <w:pPr>
        <w:rPr>
          <w:noProof/>
        </w:rPr>
      </w:pPr>
      <w:r>
        <w:rPr>
          <w:noProof/>
        </w:rPr>
        <w:t>Η Ελλάδα παρουσίασε για πρώτη φορά την Εθελοντική Εθνική Αξιολόγηση για την υλοποίηση των ΣΒΑ στο Πολιτικό Φόρουμ Υψηλού Επιπέδου του ΟΗΕ τον Ιούλιο του 2018</w:t>
      </w:r>
      <w:r>
        <w:rPr>
          <w:rStyle w:val="ae"/>
          <w:noProof/>
        </w:rPr>
        <w:footnoteReference w:id="167"/>
      </w:r>
      <w:r>
        <w:rPr>
          <w:noProof/>
        </w:rPr>
        <w:t>.</w:t>
      </w:r>
    </w:p>
    <w:p w:rsidR="00EE1CB7" w:rsidRDefault="0034634B">
      <w:pPr>
        <w:rPr>
          <w:noProof/>
        </w:rPr>
      </w:pPr>
      <w:r>
        <w:rPr>
          <w:noProof/>
        </w:rPr>
        <w:t>Η έκθεση Εθελοντικής Εθνικής Αξιολόγησης 2018 της Ελλάδας καλύπτει και τους 17 στόχους μέσω οκτώ εθνικών προτεραιοτήτων για την προσαρμογή των ΣΒΑ στις εθνικές ανάγκες και συνθήκες, σύμφωνα και με την πρόσφατα εγκριθείσα Εθνική Στρατηγική Ανάπτυξης:</w:t>
      </w:r>
    </w:p>
    <w:p w:rsidR="00EE1CB7" w:rsidRDefault="0034634B">
      <w:pPr>
        <w:pStyle w:val="a9"/>
        <w:numPr>
          <w:ilvl w:val="0"/>
          <w:numId w:val="38"/>
        </w:numPr>
        <w:rPr>
          <w:noProof/>
        </w:rPr>
      </w:pPr>
      <w:r>
        <w:rPr>
          <w:noProof/>
        </w:rPr>
        <w:t>Προώθηση μιας ανταγωνιστικής, καινοτόμου και βιώσιμης οικονομικής ανάπτυξης (συνδέεται με τον ΣΒΑ 9)</w:t>
      </w:r>
    </w:p>
    <w:p w:rsidR="00EE1CB7" w:rsidRDefault="0034634B">
      <w:pPr>
        <w:pStyle w:val="a9"/>
        <w:numPr>
          <w:ilvl w:val="0"/>
          <w:numId w:val="38"/>
        </w:numPr>
        <w:rPr>
          <w:noProof/>
        </w:rPr>
      </w:pPr>
      <w:r>
        <w:rPr>
          <w:noProof/>
        </w:rPr>
        <w:t>Προαγωγή της πλήρους απασχόλησης και της αξιοπρεπούς εργασίας για όλους (συνδέεται με τον ΣΒΑ 8)</w:t>
      </w:r>
    </w:p>
    <w:p w:rsidR="00EE1CB7" w:rsidRDefault="0034634B">
      <w:pPr>
        <w:pStyle w:val="a9"/>
        <w:numPr>
          <w:ilvl w:val="0"/>
          <w:numId w:val="38"/>
        </w:numPr>
        <w:rPr>
          <w:noProof/>
        </w:rPr>
      </w:pPr>
      <w:r>
        <w:rPr>
          <w:noProof/>
        </w:rPr>
        <w:t>Αντιμετώπιση της φτώχειας και του κοινωνικού αποκλεισμού και διασφάλιση της καθολικής πρόσβασης σε ποιοτικές υπηρεσίες υγειονομικής περίθαλψης (συνδέεται με τους ΣΒΑ 1, 2, 3)</w:t>
      </w:r>
    </w:p>
    <w:p w:rsidR="00EE1CB7" w:rsidRDefault="0034634B">
      <w:pPr>
        <w:pStyle w:val="a9"/>
        <w:numPr>
          <w:ilvl w:val="0"/>
          <w:numId w:val="38"/>
        </w:numPr>
        <w:rPr>
          <w:noProof/>
        </w:rPr>
      </w:pPr>
      <w:r>
        <w:rPr>
          <w:noProof/>
        </w:rPr>
        <w:t>Μείωση των κοινωνικών και περιφερειακών ανισοτήτων και εξασφάλιση ίσων ευκαιριών για όλους (συνδέεται με τους ΣΒΑ 10, 5)</w:t>
      </w:r>
    </w:p>
    <w:p w:rsidR="00EE1CB7" w:rsidRDefault="0034634B">
      <w:pPr>
        <w:pStyle w:val="a9"/>
        <w:numPr>
          <w:ilvl w:val="0"/>
          <w:numId w:val="38"/>
        </w:numPr>
        <w:rPr>
          <w:noProof/>
        </w:rPr>
      </w:pPr>
      <w:r>
        <w:rPr>
          <w:noProof/>
        </w:rPr>
        <w:t>Προώθηση μιας υψηλής ποιότητας και χωρίς αποκλεισμούς εκπαίδευσης (συνδέεται με τον ΣΒΑ 4)</w:t>
      </w:r>
    </w:p>
    <w:p w:rsidR="00EE1CB7" w:rsidRDefault="0034634B">
      <w:pPr>
        <w:pStyle w:val="a9"/>
        <w:numPr>
          <w:ilvl w:val="0"/>
          <w:numId w:val="38"/>
        </w:numPr>
        <w:rPr>
          <w:noProof/>
        </w:rPr>
      </w:pPr>
      <w:r>
        <w:rPr>
          <w:noProof/>
        </w:rPr>
        <w:t>Ενίσχυση της προστασίας και ορθολογικής διαχείρισης του φυσικού κεφαλαίου ως βάση για κοινωνική ευημερία και μετάβαση σε μία οικονομία χαμηλού άνθρακα (συνδέεται με τους ΣΒΑ 6, 7, 11, 12, 13, 14 και 15)</w:t>
      </w:r>
    </w:p>
    <w:p w:rsidR="00EE1CB7" w:rsidRDefault="0034634B">
      <w:pPr>
        <w:pStyle w:val="a9"/>
        <w:numPr>
          <w:ilvl w:val="0"/>
          <w:numId w:val="38"/>
        </w:numPr>
        <w:rPr>
          <w:noProof/>
        </w:rPr>
      </w:pPr>
      <w:r>
        <w:rPr>
          <w:noProof/>
        </w:rPr>
        <w:t xml:space="preserve">Οικοδόμηση αποδοτικών, αξιόπιστων και διαφανών θεσμών (συνδέεται με τους ΣΒΑ 16 και 17) </w:t>
      </w:r>
    </w:p>
    <w:p w:rsidR="00EE1CB7" w:rsidRDefault="0034634B">
      <w:pPr>
        <w:pStyle w:val="a9"/>
        <w:numPr>
          <w:ilvl w:val="0"/>
          <w:numId w:val="38"/>
        </w:numPr>
        <w:rPr>
          <w:noProof/>
        </w:rPr>
      </w:pPr>
      <w:r>
        <w:rPr>
          <w:noProof/>
        </w:rPr>
        <w:t xml:space="preserve">Ενίσχυση και προώθηση ανοιχτών, συμμετοχικών, δημοκρατικών διαδικασιών (συνδέεται με τους ΣΒΑ 16 και 17) </w:t>
      </w:r>
    </w:p>
    <w:p w:rsidR="00EE1CB7" w:rsidRDefault="0034634B">
      <w:pPr>
        <w:rPr>
          <w:noProof/>
        </w:rPr>
      </w:pPr>
      <w:r>
        <w:rPr>
          <w:noProof/>
        </w:rPr>
        <w:t xml:space="preserve">Αυτές οι οκτώ πρωταρχικές εθνικές προτεραιότητες καθορίστηκαν σε έναν ανοικτό διάλογο στο πλαίσιο </w:t>
      </w:r>
      <w:r>
        <w:rPr>
          <w:noProof/>
        </w:rPr>
        <w:t>όλων των μονάδων διακυβέρνησης και με ευρύ φάσμα ενδιαφερόμενων μερών, μέσω διαδικασίας ενδελεχούς χαρτογράφησης που διεξάχθηκε το 2017.</w:t>
      </w:r>
    </w:p>
    <w:p w:rsidR="00EE1CB7" w:rsidRDefault="0034634B">
      <w:pPr>
        <w:rPr>
          <w:noProof/>
        </w:rPr>
      </w:pPr>
      <w:r>
        <w:rPr>
          <w:noProof/>
        </w:rPr>
        <w:t>Όσον αφορά τα δεδομένα και τους δείκτες για την παρακολούθηση της υλοποίησης των ΣΒΑ, η Ελληνική Στατιστική Αρχή (ΕΛΣΤΑΤ), ως συντονιστής του Ελληνικού Στατιστικού Συστήματος (ΕΛΣΣ), είναι αρμόδια για την κατάρτιση των σχετικών επίσημων στατιστικών στοιχείων στην Ελλάδα. Επειδή προς το παρόν δεν έχει εκπονηθεί εθνικό σύνολο δεικτών συγκεκριμένα για την υλοποίηση των ΣΒΑ, το παράρτημα εθνικών στατιστικών στοιχείων της Έκθεσης Εθελοντικής Εθνικής Αξιολόγησης της Ελλάδας βασίζεται στους 100 δείκτες (από το σύνολο των 232 δεικτών του καθολικού πλαισίου δεικτών ΣΒΑ) που μετρήθηκαν από την Eurostat [</w:t>
      </w:r>
      <w:r>
        <w:rPr>
          <w:i/>
          <w:noProof/>
        </w:rPr>
        <w:t>Sustainable Development in the European Union: Monitoring Report on Progress towards the SDGs in an EU context</w:t>
      </w:r>
      <w:r>
        <w:rPr>
          <w:noProof/>
        </w:rPr>
        <w:t xml:space="preserve"> (Βιώσιμη ανάπτυξη στην Ευρωπαϊκή Ένωση: Έκθεση παρακολούθησης της προόδου προς την επίτευξη των ΣΒΑ σε ενωσιακό πλαίσιο), Eurostat,</w:t>
      </w:r>
      <w:r>
        <w:rPr>
          <w:i/>
          <w:noProof/>
        </w:rPr>
        <w:t xml:space="preserve"> </w:t>
      </w:r>
      <w:r>
        <w:rPr>
          <w:noProof/>
        </w:rPr>
        <w:t>Νοέμβριος 2017], παρουσιάζοντας τους πλέον σχετικούς δείκτες για την Ελλάδα.</w:t>
      </w:r>
    </w:p>
    <w:p w:rsidR="00EE1CB7" w:rsidRDefault="0034634B">
      <w:pPr>
        <w:rPr>
          <w:noProof/>
        </w:rPr>
      </w:pPr>
      <w:r>
        <w:rPr>
          <w:noProof/>
        </w:rPr>
        <w:t xml:space="preserve">Όσον αφορά τη συμμετοχή ενδιαφερόμενων μερών, η ΓΓΚ ενθαρρύνει και διευκολύνει τη διαβούλευση με πολλαπλά ενδιαφερόμενα μέρη που συμμετέχουν ενεργά στη διαδικασία υλοποίησης των ΣΒΑ, συμπεριλαμβανομένων περιφερειακών και τοπικών αρχών. Ειδικότερα, διεξάγεται επί του παρόντος διάλογος με ορισμένα από τα σημαντικότερα ενδιαφερόμενα μέρη σε εθνικό επίπεδο, μέσω της πλατφόρμας που παρέχει η Οικονομική και Κοινωνική Επιτροπή της Ελλάδας (ΟΚΕ), ο συνταγματικά αναγνωρισμένος θεσμός για τη διεξαγωγή κοινωνικού διαλόγου στην Ελλάδα. Η ΟΚΕ λειτουργεί, σύμφωνα με το μοντέλο της Ευρωπαϊκής Οικονομικής και Κοινωνικής Επιτροπής (ΕΟΚΕ), με βάση τριμερή δομή που αντιπροσωπεύει τα συμφέροντα των τριών βασικών ομάδων που συμμετέχουν, άμεσα και έμμεσα, στην επίτευξη των ΣΒΑ σε διάφορα επίπεδα: i) εργοδότες-επιχειρηματίες· ii) εργαζόμενοι στον δημόσιο και τον ιδιωτικό τομέα· και iii) άλλες κατηγορίες ομάδων συμφερόντων, όπως γεωργοί, αυτοαπασχολούμενοι, επαγγελματίες, καταναλωτές, περιβαλλοντικοί οργανισμοί, συνομοσπονδία ατόμων με αναπηρία, οργανώσεις για την ισότητα των φύλων και οργανώσεις πολυτέκνων, καθώς και περιφερειακή και τοπική διοίκηση. </w:t>
      </w:r>
      <w:bookmarkEnd w:id="126"/>
    </w:p>
    <w:sectPr w:rsidR="00EE1CB7">
      <w:headerReference w:type="even" r:id="rId145"/>
      <w:headerReference w:type="default" r:id="rId146"/>
      <w:footerReference w:type="even" r:id="rId147"/>
      <w:footerReference w:type="default" r:id="rId148"/>
      <w:headerReference w:type="first" r:id="rId149"/>
      <w:footerReference w:type="first" r:id="rId150"/>
      <w:type w:val="continuous"/>
      <w:pgSz w:w="11906" w:h="16838" w:code="9"/>
      <w:pgMar w:top="1440" w:right="1080" w:bottom="1440" w:left="1080" w:header="709" w:footer="709" w:gutter="0"/>
      <w:cols w:num="2" w:space="35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03E6" w:rsidRDefault="00A503E6">
      <w:pPr>
        <w:spacing w:after="0"/>
      </w:pPr>
      <w:r>
        <w:separator/>
      </w:r>
    </w:p>
    <w:p w:rsidR="00A503E6" w:rsidRDefault="00A503E6"/>
  </w:endnote>
  <w:endnote w:type="continuationSeparator" w:id="0">
    <w:p w:rsidR="00A503E6" w:rsidRDefault="00A503E6">
      <w:pPr>
        <w:spacing w:after="0"/>
      </w:pPr>
      <w:r>
        <w:continuationSeparator/>
      </w:r>
    </w:p>
    <w:p w:rsidR="00A503E6" w:rsidRDefault="00A503E6"/>
  </w:endnote>
  <w:endnote w:type="continuationNotice" w:id="1">
    <w:p w:rsidR="00A503E6" w:rsidRDefault="00A503E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EUAlbertina">
    <w:altName w:val="MS Gothic"/>
    <w:panose1 w:val="00000000000000000000"/>
    <w:charset w:val="00"/>
    <w:family w:val="roman"/>
    <w:notTrueType/>
    <w:pitch w:val="default"/>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Century Gothic">
    <w:panose1 w:val="020B0502020202020204"/>
    <w:charset w:val="A1"/>
    <w:family w:val="swiss"/>
    <w:pitch w:val="variable"/>
    <w:sig w:usb0="00000287" w:usb1="00000000" w:usb2="00000000" w:usb3="00000000" w:csb0="0000009F" w:csb1="00000000"/>
  </w:font>
  <w:font w:name="Segoe UI,Times New Roman">
    <w:altName w:val="Times New Roman"/>
    <w:panose1 w:val="00000000000000000000"/>
    <w:charset w:val="00"/>
    <w:family w:val="roman"/>
    <w:notTrueType/>
    <w:pitch w:val="default"/>
  </w:font>
  <w:font w:name="Calibri,Times New Roman">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font>
  <w:font w:name="Calibri,Calibri,Times New Roman">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11C2" w:rsidRPr="00B411C2" w:rsidRDefault="00B411C2" w:rsidP="00B411C2">
    <w:pPr>
      <w:pStyle w:val="a7"/>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554397"/>
      <w:docPartObj>
        <w:docPartGallery w:val="Page Numbers (Bottom of Page)"/>
        <w:docPartUnique/>
      </w:docPartObj>
    </w:sdtPr>
    <w:sdtEndPr>
      <w:rPr>
        <w:noProof/>
      </w:rPr>
    </w:sdtEndPr>
    <w:sdtContent>
      <w:p w:rsidR="0034634B" w:rsidRDefault="0034634B">
        <w:pPr>
          <w:pStyle w:val="a7"/>
          <w:jc w:val="center"/>
          <w:rPr>
            <w:rFonts w:asciiTheme="minorHAnsi" w:hAnsiTheme="minorHAnsi" w:cstheme="minorBidi"/>
            <w:noProof/>
            <w:sz w:val="20"/>
          </w:rPr>
        </w:pPr>
        <w:r>
          <w:fldChar w:fldCharType="begin"/>
        </w:r>
        <w:r>
          <w:instrText xml:space="preserve"> PAGE   \* MERGEFORMAT </w:instrText>
        </w:r>
        <w:r>
          <w:fldChar w:fldCharType="separate"/>
        </w:r>
        <w:r w:rsidR="00C06F7C">
          <w:rPr>
            <w:noProof/>
          </w:rPr>
          <w:t>3</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jc w:val="center"/>
    </w:pPr>
    <w:r>
      <w:t>Επισκόπηση της εφαρμογής της περιβαλλοντικής πολιτικής 2019 – Ελλάδα</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jc w:val="center"/>
    </w:pPr>
    <w:r>
      <w:t>Επισκόπηση της εφαρμογής της περιβαλλοντικής πολιτικής 2019 – Ελλάδα</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11C2" w:rsidRPr="00B411C2" w:rsidRDefault="00B411C2" w:rsidP="00B411C2">
    <w:pPr>
      <w:pStyle w:val="FooterCoverPage"/>
      <w:rPr>
        <w:rFonts w:ascii="Arial" w:hAnsi="Arial" w:cs="Arial"/>
        <w:b/>
        <w:sz w:val="48"/>
      </w:rPr>
    </w:pPr>
    <w:r w:rsidRPr="00B411C2">
      <w:rPr>
        <w:rFonts w:ascii="Arial" w:hAnsi="Arial" w:cs="Arial"/>
        <w:b/>
        <w:sz w:val="48"/>
      </w:rPr>
      <w:t>EL</w:t>
    </w:r>
    <w:r w:rsidRPr="00B411C2">
      <w:rPr>
        <w:rFonts w:ascii="Arial" w:hAnsi="Arial" w:cs="Arial"/>
        <w:b/>
        <w:sz w:val="48"/>
      </w:rPr>
      <w:tab/>
    </w:r>
    <w:r w:rsidRPr="00B411C2">
      <w:rPr>
        <w:rFonts w:ascii="Arial" w:hAnsi="Arial" w:cs="Arial"/>
        <w:b/>
        <w:sz w:val="48"/>
      </w:rPr>
      <w:tab/>
    </w:r>
    <w:r w:rsidRPr="00B411C2">
      <w:tab/>
    </w:r>
    <w:r w:rsidRPr="00B411C2">
      <w:rPr>
        <w:rFonts w:ascii="Arial" w:hAnsi="Arial" w:cs="Arial"/>
        <w:b/>
        <w:sz w:val="48"/>
      </w:rPr>
      <w:t>EL</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4562396"/>
      <w:docPartObj>
        <w:docPartGallery w:val="Page Numbers (Bottom of Page)"/>
        <w:docPartUnique/>
      </w:docPartObj>
    </w:sdtPr>
    <w:sdtEndPr>
      <w:rPr>
        <w:noProof/>
      </w:rPr>
    </w:sdtEndPr>
    <w:sdtContent>
      <w:p w:rsidR="0034634B" w:rsidRDefault="0034634B">
        <w:pPr>
          <w:pStyle w:val="a7"/>
          <w:jc w:val="center"/>
          <w:rPr>
            <w:rFonts w:asciiTheme="minorHAnsi" w:hAnsiTheme="minorHAnsi" w:cstheme="minorBidi"/>
            <w:noProof/>
            <w:sz w:val="20"/>
          </w:rPr>
        </w:pPr>
        <w:r>
          <w:fldChar w:fldCharType="begin"/>
        </w:r>
        <w:r>
          <w:instrText xml:space="preserve"> PAGE   \* MERGEFORMAT </w:instrText>
        </w:r>
        <w:r>
          <w:fldChar w:fldCharType="separate"/>
        </w:r>
        <w:r w:rsidR="00C06F7C">
          <w:rPr>
            <w:noProof/>
          </w:rPr>
          <w:t>4</w:t>
        </w:r>
        <w:r>
          <w:rPr>
            <w:noProof/>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jc w:val="center"/>
    </w:pPr>
    <w:r>
      <w:t>Έκθεση για την εφαρμογή της περιβαλλοντικής πολιτικής – Ελλάδα</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4712691"/>
      <w:docPartObj>
        <w:docPartGallery w:val="Page Numbers (Bottom of Page)"/>
        <w:docPartUnique/>
      </w:docPartObj>
    </w:sdtPr>
    <w:sdtEndPr>
      <w:rPr>
        <w:noProof/>
      </w:rPr>
    </w:sdtEndPr>
    <w:sdtContent>
      <w:p w:rsidR="0034634B" w:rsidRDefault="0034634B">
        <w:pPr>
          <w:pStyle w:val="a7"/>
          <w:jc w:val="center"/>
          <w:rPr>
            <w:rFonts w:asciiTheme="minorHAnsi" w:hAnsiTheme="minorHAnsi" w:cstheme="minorBidi"/>
            <w:noProof/>
            <w:sz w:val="20"/>
          </w:rPr>
        </w:pPr>
        <w:r>
          <w:fldChar w:fldCharType="begin"/>
        </w:r>
        <w:r>
          <w:instrText xml:space="preserve"> PAGE   \* MERGEFORMAT </w:instrText>
        </w:r>
        <w:r>
          <w:fldChar w:fldCharType="separate"/>
        </w:r>
        <w:r w:rsidR="00C06F7C">
          <w:rPr>
            <w:noProof/>
          </w:rPr>
          <w:t>11</w:t>
        </w:r>
        <w:r>
          <w:rPr>
            <w:noProof/>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7950064"/>
      <w:docPartObj>
        <w:docPartGallery w:val="Page Numbers (Bottom of Page)"/>
        <w:docPartUnique/>
      </w:docPartObj>
    </w:sdtPr>
    <w:sdtEndPr>
      <w:rPr>
        <w:noProof/>
      </w:rPr>
    </w:sdtEndPr>
    <w:sdtContent>
      <w:p w:rsidR="0034634B" w:rsidRDefault="0034634B">
        <w:pPr>
          <w:pStyle w:val="a7"/>
          <w:jc w:val="center"/>
        </w:pPr>
        <w:r>
          <w:fldChar w:fldCharType="begin"/>
        </w:r>
        <w:r>
          <w:instrText xml:space="preserve"> PAGE   \* MERGEFORMAT </w:instrText>
        </w:r>
        <w:r>
          <w:fldChar w:fldCharType="separate"/>
        </w:r>
        <w:r w:rsidR="00C06F7C">
          <w:rPr>
            <w:noProof/>
          </w:rPr>
          <w:t>12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11C2" w:rsidRPr="00B411C2" w:rsidRDefault="00B411C2" w:rsidP="00B411C2">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6869128"/>
      <w:docPartObj>
        <w:docPartGallery w:val="Page Numbers (Bottom of Page)"/>
        <w:docPartUnique/>
      </w:docPartObj>
    </w:sdtPr>
    <w:sdtEndPr>
      <w:rPr>
        <w:noProof/>
      </w:rPr>
    </w:sdtEndPr>
    <w:sdtContent>
      <w:p w:rsidR="0034634B" w:rsidRDefault="0034634B">
        <w:pPr>
          <w:pStyle w:val="a7"/>
          <w:jc w:val="center"/>
          <w:rPr>
            <w:rFonts w:asciiTheme="minorHAnsi" w:hAnsiTheme="minorHAnsi" w:cstheme="minorBidi"/>
            <w:noProof/>
            <w:sz w:val="20"/>
          </w:rPr>
        </w:pPr>
        <w:r>
          <w:fldChar w:fldCharType="begin"/>
        </w:r>
        <w:r>
          <w:instrText xml:space="preserve"> PAGE   \* MERGEFORMAT </w:instrText>
        </w:r>
        <w:r>
          <w:fldChar w:fldCharType="separate"/>
        </w:r>
        <w:r w:rsidR="00C06F7C">
          <w:rPr>
            <w:noProof/>
          </w:rPr>
          <w:t>19</w:t>
        </w:r>
        <w:r>
          <w:rPr>
            <w:noProof/>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jc w:val="center"/>
    </w:pPr>
    <w:r>
      <w:t>Έκθεση για την εφαρμογή της περιβαλλοντικής πολιτικής – Ελλάδα</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4667079"/>
      <w:docPartObj>
        <w:docPartGallery w:val="Page Numbers (Bottom of Page)"/>
        <w:docPartUnique/>
      </w:docPartObj>
    </w:sdtPr>
    <w:sdtEndPr>
      <w:rPr>
        <w:noProof/>
      </w:rPr>
    </w:sdtEndPr>
    <w:sdtContent>
      <w:p w:rsidR="0034634B" w:rsidRDefault="0034634B">
        <w:pPr>
          <w:pStyle w:val="a7"/>
          <w:jc w:val="center"/>
          <w:rPr>
            <w:rFonts w:asciiTheme="minorHAnsi" w:hAnsiTheme="minorHAnsi" w:cstheme="minorBidi"/>
            <w:noProof/>
            <w:sz w:val="20"/>
          </w:rPr>
        </w:pPr>
        <w:r>
          <w:fldChar w:fldCharType="begin"/>
        </w:r>
        <w:r>
          <w:instrText xml:space="preserve"> PAGE   \* MERGEFORMAT </w:instrText>
        </w:r>
        <w:r>
          <w:fldChar w:fldCharType="separate"/>
        </w:r>
        <w:r w:rsidR="00C06F7C">
          <w:rPr>
            <w:noProof/>
          </w:rPr>
          <w:t>20</w:t>
        </w:r>
        <w:r>
          <w:rPr>
            <w:noProof/>
          </w:rPr>
          <w:fldChar w:fldCharType="end"/>
        </w:r>
      </w:p>
    </w:sdtContent>
  </w:sdt>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3141344"/>
      <w:docPartObj>
        <w:docPartGallery w:val="Page Numbers (Bottom of Page)"/>
        <w:docPartUnique/>
      </w:docPartObj>
    </w:sdtPr>
    <w:sdtEndPr>
      <w:rPr>
        <w:noProof/>
      </w:rPr>
    </w:sdtEndPr>
    <w:sdtContent>
      <w:p w:rsidR="0034634B" w:rsidRDefault="0034634B">
        <w:pPr>
          <w:pStyle w:val="a7"/>
          <w:jc w:val="center"/>
          <w:rPr>
            <w:rFonts w:asciiTheme="minorHAnsi" w:hAnsiTheme="minorHAnsi" w:cstheme="minorBidi"/>
            <w:noProof/>
            <w:sz w:val="20"/>
          </w:rPr>
        </w:pPr>
        <w:r>
          <w:fldChar w:fldCharType="begin"/>
        </w:r>
        <w:r>
          <w:instrText xml:space="preserve"> PAGE   \* MERGEFORMAT </w:instrText>
        </w:r>
        <w:r>
          <w:fldChar w:fldCharType="separate"/>
        </w:r>
        <w:r w:rsidR="00C06F7C">
          <w:rPr>
            <w:noProof/>
          </w:rPr>
          <w:t>28</w:t>
        </w:r>
        <w:r>
          <w:rPr>
            <w:noProof/>
          </w:rPr>
          <w:fldChar w:fldCharType="end"/>
        </w:r>
      </w:p>
    </w:sdtContent>
  </w:sdt>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jc w:val="center"/>
    </w:pPr>
    <w:r>
      <w:t>Έκθεση για την εφαρμογή της περιβαλλοντικής πολιτικής 2016 – Ελλάδα</w: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3029048"/>
      <w:docPartObj>
        <w:docPartGallery w:val="Page Numbers (Bottom of Page)"/>
        <w:docPartUnique/>
      </w:docPartObj>
    </w:sdtPr>
    <w:sdtEndPr>
      <w:rPr>
        <w:noProof/>
      </w:rPr>
    </w:sdtEndPr>
    <w:sdtContent>
      <w:p w:rsidR="0034634B" w:rsidRDefault="0034634B">
        <w:pPr>
          <w:pStyle w:val="a7"/>
          <w:jc w:val="center"/>
          <w:rPr>
            <w:rFonts w:asciiTheme="minorHAnsi" w:hAnsiTheme="minorHAnsi" w:cstheme="minorBidi"/>
            <w:noProof/>
            <w:sz w:val="20"/>
          </w:rPr>
        </w:pPr>
        <w:r>
          <w:fldChar w:fldCharType="begin"/>
        </w:r>
        <w:r>
          <w:instrText xml:space="preserve"> PAGE   \* MERGEFORMAT </w:instrText>
        </w:r>
        <w:r>
          <w:fldChar w:fldCharType="separate"/>
        </w:r>
        <w:r w:rsidR="00C06F7C">
          <w:rPr>
            <w:noProof/>
          </w:rPr>
          <w:t>33</w:t>
        </w:r>
        <w:r>
          <w:rPr>
            <w:noProof/>
          </w:rPr>
          <w:fldChar w:fldCharType="end"/>
        </w:r>
      </w:p>
    </w:sdtContent>
  </w:sdt>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jc w:val="center"/>
    </w:pPr>
    <w:r>
      <w:t>Έκθεση για την εφαρμογή της περιβαλλοντικής πολιτικής 2019 – Ελλάδα</w:t>
    </w:r>
  </w:p>
  <w:p w:rsidR="0034634B" w:rsidRDefault="0034634B">
    <w:pPr>
      <w:pStyle w:val="a7"/>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0540181"/>
      <w:docPartObj>
        <w:docPartGallery w:val="Page Numbers (Bottom of Page)"/>
        <w:docPartUnique/>
      </w:docPartObj>
    </w:sdtPr>
    <w:sdtEndPr>
      <w:rPr>
        <w:noProof/>
      </w:rPr>
    </w:sdtEndPr>
    <w:sdtContent>
      <w:p w:rsidR="0034634B" w:rsidRDefault="0034634B">
        <w:pPr>
          <w:pStyle w:val="a7"/>
          <w:jc w:val="center"/>
          <w:rPr>
            <w:rFonts w:asciiTheme="minorHAnsi" w:hAnsiTheme="minorHAnsi" w:cstheme="minorBidi"/>
            <w:noProof/>
            <w:sz w:val="20"/>
          </w:rPr>
        </w:pPr>
        <w:r>
          <w:fldChar w:fldCharType="begin"/>
        </w:r>
        <w:r>
          <w:instrText xml:space="preserve"> PAGE   \* MERGEFORMAT </w:instrText>
        </w:r>
        <w:r>
          <w:fldChar w:fldCharType="separate"/>
        </w:r>
        <w:r w:rsidR="00C06F7C">
          <w:rPr>
            <w:noProof/>
          </w:rPr>
          <w:t>34</w:t>
        </w:r>
        <w:r>
          <w:rPr>
            <w:noProof/>
          </w:rPr>
          <w:fldChar w:fldCharType="end"/>
        </w:r>
      </w:p>
    </w:sdtContent>
  </w:sdt>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4478884"/>
      <w:docPartObj>
        <w:docPartGallery w:val="Page Numbers (Bottom of Page)"/>
        <w:docPartUnique/>
      </w:docPartObj>
    </w:sdtPr>
    <w:sdtEndPr>
      <w:rPr>
        <w:noProof/>
      </w:rPr>
    </w:sdtEndPr>
    <w:sdtContent>
      <w:p w:rsidR="0034634B" w:rsidRDefault="0034634B">
        <w:pPr>
          <w:pStyle w:val="a7"/>
          <w:jc w:val="center"/>
          <w:rPr>
            <w:rFonts w:asciiTheme="minorHAnsi" w:hAnsiTheme="minorHAnsi" w:cstheme="minorBidi"/>
            <w:noProof/>
            <w:sz w:val="20"/>
          </w:rPr>
        </w:pPr>
        <w:r>
          <w:fldChar w:fldCharType="begin"/>
        </w:r>
        <w:r>
          <w:instrText xml:space="preserve"> PAGE   \* MERGEFORMAT </w:instrText>
        </w:r>
        <w:r>
          <w:fldChar w:fldCharType="separate"/>
        </w:r>
        <w:r w:rsidR="00C06F7C">
          <w:rPr>
            <w:noProof/>
          </w:rPr>
          <w:t>40</w:t>
        </w:r>
        <w:r>
          <w:rPr>
            <w:noProof/>
          </w:rPr>
          <w:fldChar w:fldCharType="end"/>
        </w:r>
      </w:p>
    </w:sdtContent>
  </w:sdt>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1466220"/>
      <w:docPartObj>
        <w:docPartGallery w:val="Page Numbers (Bottom of Page)"/>
        <w:docPartUnique/>
      </w:docPartObj>
    </w:sdtPr>
    <w:sdtEndPr>
      <w:rPr>
        <w:noProof/>
      </w:rPr>
    </w:sdtEndPr>
    <w:sdtContent>
      <w:p w:rsidR="0034634B" w:rsidRDefault="0034634B">
        <w:pPr>
          <w:pStyle w:val="a7"/>
          <w:jc w:val="center"/>
        </w:pPr>
        <w:r>
          <w:fldChar w:fldCharType="begin"/>
        </w:r>
        <w:r>
          <w:instrText xml:space="preserve"> PAGE   \* MERGEFORMAT </w:instrText>
        </w:r>
        <w:r>
          <w:fldChar w:fldCharType="separate"/>
        </w:r>
        <w:r w:rsidR="00C06F7C">
          <w:rPr>
            <w:noProof/>
          </w:rPr>
          <w:t>1</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jc w:val="center"/>
    </w:pPr>
    <w:r>
      <w:t>Έκθεση για την εφαρμογή της περιβαλλοντικής πολιτικής 2019 – Ελλάδα</w:t>
    </w:r>
  </w:p>
  <w:p w:rsidR="0034634B" w:rsidRDefault="0034634B">
    <w:pPr>
      <w:pStyle w:val="a7"/>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7348273"/>
      <w:docPartObj>
        <w:docPartGallery w:val="Page Numbers (Bottom of Page)"/>
        <w:docPartUnique/>
      </w:docPartObj>
    </w:sdtPr>
    <w:sdtEndPr>
      <w:rPr>
        <w:noProof/>
      </w:rPr>
    </w:sdtEndPr>
    <w:sdtContent>
      <w:p w:rsidR="0034634B" w:rsidRDefault="0034634B">
        <w:pPr>
          <w:pStyle w:val="a7"/>
          <w:jc w:val="center"/>
          <w:rPr>
            <w:rFonts w:asciiTheme="minorHAnsi" w:hAnsiTheme="minorHAnsi" w:cstheme="minorBidi"/>
            <w:noProof/>
            <w:sz w:val="20"/>
          </w:rPr>
        </w:pPr>
        <w:r>
          <w:fldChar w:fldCharType="begin"/>
        </w:r>
        <w:r>
          <w:instrText xml:space="preserve"> PAGE   \* MERGEFORMAT </w:instrText>
        </w:r>
        <w:r>
          <w:fldChar w:fldCharType="separate"/>
        </w:r>
        <w:r w:rsidR="00C06F7C">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03E6" w:rsidRDefault="00A503E6">
      <w:pPr>
        <w:spacing w:after="0"/>
      </w:pPr>
      <w:r>
        <w:separator/>
      </w:r>
    </w:p>
  </w:footnote>
  <w:footnote w:type="continuationSeparator" w:id="0">
    <w:p w:rsidR="00A503E6" w:rsidRDefault="00A503E6">
      <w:pPr>
        <w:spacing w:after="0"/>
      </w:pPr>
      <w:r>
        <w:continuationSeparator/>
      </w:r>
    </w:p>
    <w:p w:rsidR="00A503E6" w:rsidRDefault="00A503E6"/>
  </w:footnote>
  <w:footnote w:type="continuationNotice" w:id="1">
    <w:p w:rsidR="00A503E6" w:rsidRDefault="00A503E6">
      <w:pPr>
        <w:spacing w:after="0"/>
      </w:pPr>
    </w:p>
  </w:footnote>
  <w:footnote w:id="2">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Ευρωπαϊκή Επιτροπή, </w:t>
      </w:r>
      <w:hyperlink r:id="rId1">
        <w:r>
          <w:rPr>
            <w:rStyle w:val="-"/>
            <w:rFonts w:asciiTheme="minorHAnsi" w:eastAsiaTheme="minorEastAsia" w:hAnsiTheme="minorHAnsi" w:cstheme="minorHAnsi"/>
            <w:sz w:val="16"/>
          </w:rPr>
          <w:t>2018 Circular Economy Package</w:t>
        </w:r>
      </w:hyperlink>
      <w:r>
        <w:rPr>
          <w:rFonts w:asciiTheme="minorHAnsi" w:hAnsiTheme="minorHAnsi" w:cstheme="minorHAnsi"/>
          <w:sz w:val="16"/>
        </w:rPr>
        <w:t xml:space="preserve"> (Δέσμη μέτρων για την κυκλική οικονομία 2018).</w:t>
      </w:r>
    </w:p>
  </w:footnote>
  <w:footnote w:id="3">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w:t>
      </w:r>
      <w:hyperlink r:id="rId2">
        <w:r>
          <w:rPr>
            <w:rStyle w:val="-"/>
            <w:rFonts w:asciiTheme="minorHAnsi" w:eastAsiaTheme="minorEastAsia" w:hAnsiTheme="minorHAnsi" w:cstheme="minorHAnsi"/>
            <w:sz w:val="16"/>
          </w:rPr>
          <w:t>COM(2018) 029</w:t>
        </w:r>
      </w:hyperlink>
      <w:r>
        <w:rPr>
          <w:rFonts w:asciiTheme="minorHAnsi" w:eastAsiaTheme="minorEastAsia" w:hAnsiTheme="minorHAnsi" w:cstheme="minorHAnsi"/>
          <w:sz w:val="16"/>
        </w:rPr>
        <w:t>.</w:t>
      </w:r>
    </w:p>
  </w:footnote>
  <w:footnote w:id="4">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Ευρωπαϊκή Επιτροπή, 2017, </w:t>
      </w:r>
      <w:hyperlink r:id="rId3">
        <w:r>
          <w:rPr>
            <w:rStyle w:val="-"/>
            <w:rFonts w:asciiTheme="minorHAnsi" w:eastAsiaTheme="minorEastAsia" w:hAnsiTheme="minorHAnsi" w:cstheme="minorHAnsi"/>
            <w:sz w:val="16"/>
          </w:rPr>
          <w:t>Special 486 Eurobarometer</w:t>
        </w:r>
      </w:hyperlink>
      <w:r>
        <w:rPr>
          <w:rFonts w:asciiTheme="minorHAnsi" w:eastAsiaTheme="minorEastAsia" w:hAnsiTheme="minorHAnsi" w:cstheme="minorHAnsi"/>
          <w:sz w:val="16"/>
        </w:rPr>
        <w:t xml:space="preserve"> (Ειδικό Ευρωβαρόμετρο 486), «Attitudes of European citizens towards the environment» (Στάση των Ευρωπαίων πολιτών απέναντι στο περιβάλλον).</w:t>
      </w:r>
    </w:p>
  </w:footnote>
  <w:footnote w:id="5">
    <w:p w:rsidR="0034634B" w:rsidRDefault="0034634B">
      <w:pPr>
        <w:pStyle w:val="ad"/>
        <w:widowControl w:val="0"/>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Η παραγωγικότητα των πόρων ορίζεται ως ο λόγος μεταξύ του ακαθάριστου εγχώριου προϊόντος (ΑΕΠ) και της εγχώριας κατανάλωσης υλών (DMC).</w:t>
      </w:r>
    </w:p>
  </w:footnote>
  <w:footnote w:id="6">
    <w:p w:rsidR="0034634B" w:rsidRDefault="0034634B">
      <w:pPr>
        <w:pStyle w:val="ad"/>
        <w:widowControl w:val="0"/>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Eurostat, </w:t>
      </w:r>
      <w:hyperlink r:id="rId4">
        <w:r>
          <w:rPr>
            <w:rStyle w:val="-"/>
            <w:rFonts w:asciiTheme="minorHAnsi" w:eastAsiaTheme="minorEastAsia" w:hAnsiTheme="minorHAnsi" w:cstheme="minorHAnsi"/>
            <w:sz w:val="16"/>
          </w:rPr>
          <w:t>Resource productivity</w:t>
        </w:r>
      </w:hyperlink>
      <w:r>
        <w:t xml:space="preserve"> </w:t>
      </w:r>
      <w:r>
        <w:rPr>
          <w:rFonts w:asciiTheme="minorHAnsi" w:eastAsiaTheme="minorEastAsia" w:hAnsiTheme="minorHAnsi" w:cstheme="minorHAnsi"/>
          <w:sz w:val="16"/>
        </w:rPr>
        <w:t>(Παραγωγικότητα των πόρων).</w:t>
      </w:r>
    </w:p>
  </w:footnote>
  <w:footnote w:id="7">
    <w:p w:rsidR="0034634B" w:rsidRDefault="0034634B">
      <w:pPr>
        <w:pStyle w:val="ad"/>
        <w:widowControl w:val="0"/>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Eurostat, </w:t>
      </w:r>
      <w:hyperlink r:id="rId5">
        <w:r>
          <w:rPr>
            <w:rStyle w:val="-"/>
            <w:rFonts w:asciiTheme="minorHAnsi" w:eastAsiaTheme="minorEastAsia" w:hAnsiTheme="minorHAnsi" w:cstheme="minorHAnsi"/>
            <w:sz w:val="16"/>
          </w:rPr>
          <w:t>Resource productivity</w:t>
        </w:r>
      </w:hyperlink>
      <w:r>
        <w:t xml:space="preserve"> </w:t>
      </w:r>
      <w:r>
        <w:rPr>
          <w:rFonts w:asciiTheme="minorHAnsi" w:eastAsiaTheme="minorEastAsia" w:hAnsiTheme="minorHAnsi" w:cstheme="minorHAnsi"/>
          <w:sz w:val="16"/>
        </w:rPr>
        <w:t>(Παραγωγικότητα των πόρων).</w:t>
      </w:r>
    </w:p>
  </w:footnote>
  <w:footnote w:id="8">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Έκτακτο Ευρωβαρόμετρο 456 «SME, resource efficiency and green markets» (ΜΜΕ, αποδοτική χρήση των πόρων και πράσινες αγορές), Ιανουάριος 2018. Οι 8 διαστάσεις ήταν: εξοικονόμηση ενέργειας· ελαχιστοποίηση των αποβλήτων· εξοικονόμηση υλικών· εξοικονόμηση νερού· ανακύκλωση με επαναχρησιμοποίηση υλικών εσωτερικά· σχεδιασμός προϊόντων που είναι πιο εύκολο να διατηρηθούν, να επισκευαστούν ή να επαναχρησιμοποιηθούν· χρήση ενέργειας από ανανεώσιμες πηγές· πώληση άχρηστων υλικών σε άλλη εταιρεία.</w:t>
      </w:r>
    </w:p>
  </w:footnote>
  <w:footnote w:id="9">
    <w:p w:rsidR="0034634B" w:rsidRDefault="0034634B">
      <w:pPr>
        <w:spacing w:after="0"/>
        <w:jc w:val="left"/>
        <w:rPr>
          <w:rFonts w:eastAsiaTheme="minorEastAsia" w:cstheme="minorHAnsi"/>
          <w:sz w:val="16"/>
          <w:szCs w:val="16"/>
        </w:rPr>
      </w:pPr>
      <w:r>
        <w:rPr>
          <w:rStyle w:val="ae"/>
          <w:rFonts w:eastAsiaTheme="minorEastAsia" w:cstheme="minorHAnsi"/>
          <w:sz w:val="16"/>
        </w:rPr>
        <w:footnoteRef/>
      </w:r>
      <w:r>
        <w:rPr>
          <w:rFonts w:eastAsiaTheme="minorEastAsia" w:cstheme="minorHAnsi"/>
          <w:sz w:val="16"/>
        </w:rPr>
        <w:t xml:space="preserve"> Ευρωπαϊκή Επιτροπή, </w:t>
      </w:r>
      <w:hyperlink r:id="rId6">
        <w:r>
          <w:rPr>
            <w:rFonts w:cstheme="minorHAnsi"/>
            <w:color w:val="0000FF"/>
            <w:sz w:val="16"/>
            <w:u w:val="single"/>
          </w:rPr>
          <w:t>2018 SBA fact sheet - Greece</w:t>
        </w:r>
      </w:hyperlink>
      <w:r>
        <w:rPr>
          <w:rFonts w:cstheme="minorHAnsi"/>
          <w:sz w:val="16"/>
        </w:rPr>
        <w:t xml:space="preserve"> (Ενημερωτικό δελτίο 2018 για την SBA - Ελλάδα), σ. 12</w:t>
      </w:r>
      <w:r>
        <w:rPr>
          <w:rFonts w:cstheme="minorHAnsi"/>
          <w:i/>
          <w:sz w:val="16"/>
        </w:rPr>
        <w:t>.</w:t>
      </w:r>
    </w:p>
  </w:footnote>
  <w:footnote w:id="10">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Ευρωπαϊκή Επιτροπή, </w:t>
      </w:r>
      <w:hyperlink r:id="rId7">
        <w:r>
          <w:rPr>
            <w:rStyle w:val="-"/>
            <w:rFonts w:asciiTheme="minorHAnsi" w:eastAsiaTheme="minorEastAsia" w:hAnsiTheme="minorHAnsi" w:cstheme="minorHAnsi"/>
            <w:sz w:val="16"/>
          </w:rPr>
          <w:t>European innovation Scoreboard 2018</w:t>
        </w:r>
      </w:hyperlink>
      <w:r>
        <w:rPr>
          <w:rFonts w:asciiTheme="minorHAnsi" w:eastAsiaTheme="minorEastAsia" w:hAnsiTheme="minorHAnsi" w:cstheme="minorHAnsi"/>
          <w:sz w:val="16"/>
        </w:rPr>
        <w:t xml:space="preserve"> (Ευρωπαϊκός πίνακας αποτελεσμάτων στον τομέα της καινοτομίας 2018).</w:t>
      </w:r>
    </w:p>
  </w:footnote>
  <w:footnote w:id="11">
    <w:p w:rsidR="0034634B" w:rsidRDefault="0034634B">
      <w:pPr>
        <w:pStyle w:val="ad"/>
        <w:widowControl w:val="0"/>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w:t>
      </w:r>
      <w:hyperlink r:id="rId8">
        <w:r>
          <w:rPr>
            <w:rStyle w:val="-"/>
            <w:rFonts w:asciiTheme="minorHAnsi" w:eastAsiaTheme="minorEastAsia" w:hAnsiTheme="minorHAnsi" w:cstheme="minorHAnsi"/>
            <w:sz w:val="16"/>
          </w:rPr>
          <w:t>Παρατηρητήριο Οικοκαινοτομίας</w:t>
        </w:r>
      </w:hyperlink>
      <w:r>
        <w:rPr>
          <w:rFonts w:asciiTheme="minorHAnsi" w:eastAsiaTheme="minorEastAsia" w:hAnsiTheme="minorHAnsi" w:cstheme="minorHAnsi"/>
          <w:sz w:val="16"/>
        </w:rPr>
        <w:t>: Πίνακας επιδόσεων για την οικοκαινοτομία 2017.</w:t>
      </w:r>
    </w:p>
  </w:footnote>
  <w:footnote w:id="12">
    <w:p w:rsidR="0034634B" w:rsidRDefault="0034634B">
      <w:pPr>
        <w:spacing w:after="0"/>
        <w:jc w:val="left"/>
        <w:rPr>
          <w:rFonts w:eastAsiaTheme="minorEastAsia" w:cstheme="minorHAnsi"/>
          <w:sz w:val="16"/>
          <w:szCs w:val="16"/>
        </w:rPr>
      </w:pPr>
      <w:r>
        <w:rPr>
          <w:rFonts w:eastAsiaTheme="minorEastAsia" w:cstheme="minorHAnsi"/>
          <w:sz w:val="16"/>
          <w:vertAlign w:val="superscript"/>
        </w:rPr>
        <w:footnoteRef/>
      </w:r>
      <w:r>
        <w:rPr>
          <w:rFonts w:eastAsiaTheme="minorEastAsia" w:cstheme="minorHAnsi"/>
          <w:sz w:val="16"/>
        </w:rPr>
        <w:t xml:space="preserve"> Ευρωπαϊκή Επιτροπή, Παρατηρητήριο οικοκαινοτομίας: </w:t>
      </w:r>
      <w:r>
        <w:rPr>
          <w:rFonts w:eastAsiaTheme="minorEastAsia" w:cstheme="minorHAnsi"/>
          <w:color w:val="0000FF"/>
          <w:sz w:val="16"/>
        </w:rPr>
        <w:t>Προφίλ χώρας για την οικοκαινοτομία 2016-2017</w:t>
      </w:r>
      <w:r>
        <w:rPr>
          <w:rFonts w:eastAsiaTheme="minorEastAsia" w:cstheme="minorHAnsi"/>
          <w:sz w:val="16"/>
        </w:rPr>
        <w:t>.</w:t>
      </w:r>
    </w:p>
  </w:footnote>
  <w:footnote w:id="13">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Τα αστικά απόβλητα αποτελούνται από μεικτά απόβλητα και χωριστά συλλεχθέντα απόβλητα από νοικοκυριά και άλλες πηγές, στις περιπτώσεις όπου τα εν λόγω απόβλητα είναι παρόμοιας φύσης και σύστασης με τα απόβλητα των νοικοκυριών. Αυτό ισχύει με την επιφύλαξη του καταμερισμού των ευθυνών για τη διαχείριση των αποβλήτων μεταξύ δημόσιου και ιδιωτικού τομέα.</w:t>
      </w:r>
    </w:p>
  </w:footnote>
  <w:footnote w:id="14">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Βλ. άρθρο 11 παράγραφος 2 της</w:t>
      </w:r>
      <w:r>
        <w:t xml:space="preserve"> </w:t>
      </w:r>
      <w:hyperlink r:id="rId9">
        <w:r>
          <w:rPr>
            <w:rStyle w:val="-"/>
            <w:rFonts w:asciiTheme="minorHAnsi" w:hAnsiTheme="minorHAnsi" w:cstheme="minorHAnsi"/>
            <w:sz w:val="16"/>
          </w:rPr>
          <w:t>οδηγίας 2008/98/EΚ</w:t>
        </w:r>
      </w:hyperlink>
      <w:r>
        <w:rPr>
          <w:rFonts w:asciiTheme="minorHAnsi" w:hAnsiTheme="minorHAnsi" w:cstheme="minorHAnsi"/>
          <w:sz w:val="16"/>
        </w:rPr>
        <w:t>. Η εν λόγω οδηγία τροποποιήθηκε το 2018 από την οδηγία (ΕΕ) 2018/851, και τέθηκαν πιο φιλόδοξοι στόχοι ανακύκλωσης για την περίοδο έως το 2035.</w:t>
      </w:r>
    </w:p>
  </w:footnote>
  <w:footnote w:id="15">
    <w:p w:rsidR="0034634B" w:rsidRDefault="0034634B" w:rsidP="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Eurostat, </w:t>
      </w:r>
      <w:hyperlink r:id="rId10">
        <w:r>
          <w:rPr>
            <w:rStyle w:val="-"/>
            <w:rFonts w:asciiTheme="minorHAnsi" w:eastAsiaTheme="minorEastAsia" w:hAnsiTheme="minorHAnsi" w:cstheme="minorHAnsi"/>
            <w:sz w:val="16"/>
          </w:rPr>
          <w:t>Municipal waste by waste operations</w:t>
        </w:r>
      </w:hyperlink>
      <w:r>
        <w:rPr>
          <w:rFonts w:asciiTheme="minorHAnsi" w:eastAsiaTheme="minorEastAsia" w:hAnsiTheme="minorHAnsi" w:cstheme="minorHAnsi"/>
          <w:sz w:val="16"/>
        </w:rPr>
        <w:t xml:space="preserve"> (Αστικά απόβλητα ανά δραστηριότητες επεξεργασίας).</w:t>
      </w:r>
    </w:p>
  </w:footnote>
  <w:footnote w:id="16">
    <w:p w:rsidR="0034634B" w:rsidRDefault="0034634B" w:rsidP="0034634B">
      <w:pPr>
        <w:spacing w:after="0"/>
        <w:jc w:val="left"/>
        <w:rPr>
          <w:rFonts w:eastAsiaTheme="minorEastAsia" w:cstheme="minorHAnsi"/>
          <w:sz w:val="16"/>
          <w:szCs w:val="16"/>
        </w:rPr>
      </w:pPr>
      <w:r>
        <w:rPr>
          <w:rStyle w:val="ae"/>
          <w:rFonts w:eastAsiaTheme="minorEastAsia" w:cstheme="minorHAnsi"/>
          <w:sz w:val="16"/>
        </w:rPr>
        <w:footnoteRef/>
      </w:r>
      <w:r>
        <w:rPr>
          <w:rFonts w:eastAsiaTheme="minorEastAsia" w:cstheme="minorHAnsi"/>
          <w:sz w:val="16"/>
        </w:rPr>
        <w:t xml:space="preserve"> Eurostat, </w:t>
      </w:r>
      <w:hyperlink r:id="rId11">
        <w:r>
          <w:rPr>
            <w:rStyle w:val="-"/>
            <w:rFonts w:eastAsiaTheme="minorEastAsia" w:cstheme="minorHAnsi"/>
            <w:sz w:val="16"/>
          </w:rPr>
          <w:t>Recycling rate of municipal waste</w:t>
        </w:r>
      </w:hyperlink>
      <w:r>
        <w:rPr>
          <w:rFonts w:eastAsiaTheme="minorEastAsia" w:cstheme="minorHAnsi"/>
          <w:sz w:val="16"/>
        </w:rPr>
        <w:t xml:space="preserve"> (Ποσοστό ανακύκλωσης αστικών αποβλήτων).</w:t>
      </w:r>
    </w:p>
  </w:footnote>
  <w:footnote w:id="17">
    <w:p w:rsidR="0034634B" w:rsidRDefault="0034634B">
      <w:pPr>
        <w:pStyle w:val="ad"/>
        <w:widowControl w:val="0"/>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Ευρωπαϊκή Επιτροπή, Έκθεση σχετικά με την εφαρμογή της νομοθεσίας της ΕΕ για τα απόβλητα, συμπεριλαμβανομένης της έκθεσης έγκαιρης προειδοποίησης για τα κράτη μέλη που κινδυνεύουν να μην επιτύχουν τον στόχο για την προετοιμασία των αστικών αποβλήτων για επαναχρησιμοποίηση/ανακύκλωση για το 2020, </w:t>
      </w:r>
      <w:hyperlink r:id="rId12">
        <w:r>
          <w:rPr>
            <w:rStyle w:val="-"/>
            <w:rFonts w:asciiTheme="minorHAnsi" w:eastAsiaTheme="minorEastAsia" w:hAnsiTheme="minorHAnsi" w:cstheme="minorHAnsi"/>
            <w:sz w:val="16"/>
          </w:rPr>
          <w:t>SWD(2018)418</w:t>
        </w:r>
      </w:hyperlink>
      <w:r>
        <w:rPr>
          <w:rFonts w:asciiTheme="minorHAnsi" w:eastAsiaTheme="minorEastAsia" w:hAnsiTheme="minorHAnsi" w:cstheme="minorHAnsi"/>
          <w:sz w:val="16"/>
        </w:rPr>
        <w:t xml:space="preserve">, που συνοδεύει το έγγραφο </w:t>
      </w:r>
      <w:hyperlink r:id="rId13">
        <w:r>
          <w:rPr>
            <w:rStyle w:val="-"/>
            <w:rFonts w:asciiTheme="minorHAnsi" w:eastAsiaTheme="minorEastAsia" w:hAnsiTheme="minorHAnsi" w:cstheme="minorHAnsi"/>
            <w:sz w:val="16"/>
          </w:rPr>
          <w:t>COM(2018)656</w:t>
        </w:r>
      </w:hyperlink>
      <w:r>
        <w:rPr>
          <w:rFonts w:asciiTheme="minorHAnsi" w:eastAsiaTheme="minorEastAsia" w:hAnsiTheme="minorHAnsi" w:cstheme="minorHAnsi"/>
          <w:sz w:val="16"/>
        </w:rPr>
        <w:t>.</w:t>
      </w:r>
    </w:p>
  </w:footnote>
  <w:footnote w:id="18">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Η </w:t>
      </w:r>
      <w:hyperlink r:id="rId14">
        <w:r>
          <w:rPr>
            <w:rStyle w:val="-"/>
            <w:rFonts w:asciiTheme="minorHAnsi" w:eastAsiaTheme="minorEastAsia" w:hAnsiTheme="minorHAnsi" w:cstheme="minorHAnsi"/>
            <w:sz w:val="16"/>
          </w:rPr>
          <w:t>οδηγία (ΕΕ) 2018/851</w:t>
        </w:r>
      </w:hyperlink>
      <w:r>
        <w:t xml:space="preserve">, η </w:t>
      </w:r>
      <w:hyperlink r:id="rId15">
        <w:r>
          <w:rPr>
            <w:rStyle w:val="-"/>
            <w:rFonts w:asciiTheme="minorHAnsi" w:eastAsiaTheme="minorEastAsia" w:hAnsiTheme="minorHAnsi" w:cstheme="minorHAnsi"/>
            <w:sz w:val="16"/>
          </w:rPr>
          <w:t>οδηγία (ΕΕ) 2018/852</w:t>
        </w:r>
      </w:hyperlink>
      <w:r>
        <w:rPr>
          <w:rFonts w:asciiTheme="minorHAnsi" w:eastAsiaTheme="minorEastAsia" w:hAnsiTheme="minorHAnsi" w:cstheme="minorHAnsi"/>
          <w:sz w:val="16"/>
        </w:rPr>
        <w:t xml:space="preserve">, η </w:t>
      </w:r>
      <w:hyperlink r:id="rId16">
        <w:r>
          <w:rPr>
            <w:rStyle w:val="-"/>
            <w:rFonts w:asciiTheme="minorHAnsi" w:eastAsiaTheme="minorEastAsia" w:hAnsiTheme="minorHAnsi" w:cstheme="minorHAnsi"/>
            <w:sz w:val="16"/>
          </w:rPr>
          <w:t>οδηγία (ΕΕ) 2018/850</w:t>
        </w:r>
      </w:hyperlink>
      <w:r>
        <w:rPr>
          <w:rFonts w:asciiTheme="minorHAnsi" w:eastAsiaTheme="minorEastAsia" w:hAnsiTheme="minorHAnsi" w:cstheme="minorHAnsi"/>
          <w:sz w:val="16"/>
        </w:rPr>
        <w:t xml:space="preserve"> και η </w:t>
      </w:r>
      <w:hyperlink r:id="rId17">
        <w:r>
          <w:rPr>
            <w:rStyle w:val="-"/>
            <w:rFonts w:asciiTheme="minorHAnsi" w:eastAsiaTheme="minorEastAsia" w:hAnsiTheme="minorHAnsi" w:cstheme="minorHAnsi"/>
            <w:sz w:val="16"/>
          </w:rPr>
          <w:t>οδηγία (ΕΕ) 2018/849</w:t>
        </w:r>
      </w:hyperlink>
      <w:r>
        <w:rPr>
          <w:rFonts w:asciiTheme="minorHAnsi" w:eastAsiaTheme="minorEastAsia" w:hAnsiTheme="minorHAnsi" w:cstheme="minorHAnsi"/>
          <w:sz w:val="16"/>
        </w:rPr>
        <w:t xml:space="preserve"> τροποποιούν την προηγούμενη νομοθεσία για τα απόβλητα και θέτουν πιο φιλόδοξους στόχους ανακύκλωσης για την περίοδο έως το 2035. Οι εν λόγω στόχοι θα λαμβάνονται υπόψη κατά την αξιολόγηση της προόδου στις μελλοντικές εκθέσεις για την εφαρμογή της περιβαλλοντικής πολιτικής.</w:t>
      </w:r>
    </w:p>
  </w:footnote>
  <w:footnote w:id="19">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Που προβλέπονται στην </w:t>
      </w:r>
      <w:hyperlink r:id="rId18">
        <w:r>
          <w:rPr>
            <w:rStyle w:val="-"/>
            <w:rFonts w:asciiTheme="minorHAnsi" w:eastAsiaTheme="minorEastAsia" w:hAnsiTheme="minorHAnsi" w:cstheme="minorHAnsi"/>
            <w:sz w:val="16"/>
          </w:rPr>
          <w:t>οδηγία (ΕΕ) 2018/851</w:t>
        </w:r>
      </w:hyperlink>
      <w:r>
        <w:rPr>
          <w:rFonts w:asciiTheme="minorHAnsi" w:eastAsiaTheme="minorEastAsia" w:hAnsiTheme="minorHAnsi" w:cstheme="minorHAnsi"/>
          <w:sz w:val="16"/>
        </w:rPr>
        <w:t xml:space="preserve"> για την τροποποίηση της </w:t>
      </w:r>
      <w:hyperlink r:id="rId19">
        <w:r>
          <w:rPr>
            <w:rStyle w:val="-"/>
            <w:rFonts w:asciiTheme="minorHAnsi" w:eastAsiaTheme="minorEastAsia" w:hAnsiTheme="minorHAnsi" w:cstheme="minorHAnsi"/>
            <w:sz w:val="16"/>
          </w:rPr>
          <w:t>οδηγίας 2008/98/ΕΚ</w:t>
        </w:r>
      </w:hyperlink>
      <w:r>
        <w:rPr>
          <w:rFonts w:asciiTheme="minorHAnsi" w:eastAsiaTheme="minorEastAsia" w:hAnsiTheme="minorHAnsi" w:cstheme="minorHAnsi"/>
          <w:sz w:val="16"/>
        </w:rPr>
        <w:t>.</w:t>
      </w:r>
    </w:p>
  </w:footnote>
  <w:footnote w:id="20">
    <w:p w:rsidR="0034634B" w:rsidRDefault="0034634B" w:rsidP="0034634B">
      <w:pPr>
        <w:pStyle w:val="ad"/>
        <w:pageBreakBefore/>
        <w:jc w:val="left"/>
        <w:rPr>
          <w:rFonts w:asciiTheme="minorHAnsi" w:hAnsiTheme="minorHAnsi" w:cstheme="minorHAnsi"/>
          <w:sz w:val="16"/>
          <w:szCs w:val="16"/>
        </w:rPr>
      </w:pPr>
      <w:r>
        <w:rPr>
          <w:rStyle w:val="af6"/>
          <w:rFonts w:asciiTheme="minorHAnsi" w:hAnsiTheme="minorHAnsi" w:cstheme="minorHAnsi"/>
          <w:sz w:val="16"/>
        </w:rPr>
        <w:footnoteRef/>
      </w:r>
      <w:r>
        <w:rPr>
          <w:rFonts w:asciiTheme="minorHAnsi" w:hAnsiTheme="minorHAnsi" w:cstheme="minorHAnsi"/>
          <w:sz w:val="16"/>
        </w:rPr>
        <w:t>Ετήσια απογραφή αερίων θερμοκηπίου της Ευρωπαϊκής Ένωσης 1990–2016 [</w:t>
      </w:r>
      <w:hyperlink r:id="rId20">
        <w:r>
          <w:rPr>
            <w:rStyle w:val="-"/>
            <w:rFonts w:asciiTheme="minorHAnsi" w:hAnsiTheme="minorHAnsi" w:cstheme="minorHAnsi"/>
            <w:sz w:val="16"/>
          </w:rPr>
          <w:t>EEA greenhouse gas data viewer</w:t>
        </w:r>
      </w:hyperlink>
      <w:r>
        <w:rPr>
          <w:rFonts w:asciiTheme="minorHAnsi" w:hAnsiTheme="minorHAnsi" w:cstheme="minorHAnsi"/>
          <w:sz w:val="16"/>
        </w:rPr>
        <w:t xml:space="preserve"> (Απεικονιστής δεδομένων αερίων θερμοκηπίου του ΕΟΠ)]. </w:t>
      </w:r>
      <w:r>
        <w:rPr>
          <w:rFonts w:asciiTheme="minorHAnsi" w:hAnsiTheme="minorHAnsi" w:cstheme="minorHAnsi"/>
          <w:i/>
          <w:sz w:val="16"/>
        </w:rPr>
        <w:t xml:space="preserve">Proxy GHG emission estimates for 2017 [Προσεγγιστικές εκτιμήσεις εκπομπών αερίων θερμοκηπίου για το 2017], Approximated EU greenhouse gas inventory 2017 [Κατά προσέγγιση απογραφή αερίων θερμοκηπίου της ΕΕ για το 2017] </w:t>
      </w:r>
      <w:r>
        <w:rPr>
          <w:rFonts w:asciiTheme="minorHAnsi" w:hAnsiTheme="minorHAnsi" w:cstheme="minorHAnsi"/>
          <w:sz w:val="16"/>
        </w:rPr>
        <w:t>(Ευρωπαϊκός Οργανισμός Περιβάλλοντος)</w:t>
      </w:r>
      <w:r>
        <w:rPr>
          <w:rFonts w:asciiTheme="minorHAnsi" w:hAnsiTheme="minorHAnsi" w:cstheme="minorHAnsi"/>
          <w:i/>
          <w:sz w:val="16"/>
        </w:rPr>
        <w:t>.</w:t>
      </w:r>
      <w:r>
        <w:rPr>
          <w:rFonts w:asciiTheme="minorHAnsi" w:hAnsiTheme="minorHAnsi" w:cstheme="minorHAnsi"/>
          <w:sz w:val="16"/>
        </w:rPr>
        <w:t xml:space="preserve"> Εθνικές προβλέψεις των κρατών μελών, αναθεωρημένες από τον Ευρωπαϊκό Οργανισμό Περιβάλλοντος.</w:t>
      </w:r>
    </w:p>
  </w:footnote>
  <w:footnote w:id="21">
    <w:p w:rsidR="0034634B" w:rsidRDefault="0034634B" w:rsidP="0034634B">
      <w:pPr>
        <w:spacing w:after="0"/>
        <w:jc w:val="left"/>
        <w:rPr>
          <w:rFonts w:cstheme="minorHAnsi"/>
          <w:sz w:val="16"/>
          <w:szCs w:val="16"/>
        </w:rPr>
      </w:pPr>
      <w:r>
        <w:rPr>
          <w:rStyle w:val="af6"/>
          <w:rFonts w:cstheme="minorHAnsi"/>
          <w:sz w:val="16"/>
        </w:rPr>
        <w:footnoteRef/>
      </w:r>
      <w:r>
        <w:rPr>
          <w:rFonts w:cstheme="minorHAnsi"/>
          <w:i/>
          <w:sz w:val="16"/>
        </w:rPr>
        <w:t xml:space="preserve"> Proxy GHG emission estimates for 2017 [Προσεγγιστικές εκτιμήσεις εκπομπών αερίων θερμοκηπίου για το 2017], Approximated EU greenhouse gas inventory 2017 [Κατά προσέγγιση απογραφή αερίων θερμοκηπίου της ΕΕ για το 2017] </w:t>
      </w:r>
      <w:r>
        <w:rPr>
          <w:rFonts w:cstheme="minorHAnsi"/>
          <w:sz w:val="16"/>
        </w:rPr>
        <w:t>(Ευρωπαϊκός Οργανισμός Περιβάλλοντος)</w:t>
      </w:r>
      <w:r>
        <w:rPr>
          <w:rFonts w:cstheme="minorHAnsi"/>
          <w:i/>
          <w:sz w:val="16"/>
        </w:rPr>
        <w:t>.</w:t>
      </w:r>
      <w:r>
        <w:rPr>
          <w:rFonts w:cstheme="minorHAnsi"/>
          <w:sz w:val="16"/>
        </w:rPr>
        <w:t xml:space="preserve"> Εθνικές προβλέψεις των κρατών μελών, αναθεωρημένες από τον Ευρωπαϊκό Οργανισμό Περιβάλλοντος.</w:t>
      </w:r>
    </w:p>
  </w:footnote>
  <w:footnote w:id="22">
    <w:p w:rsidR="0034634B" w:rsidRDefault="0034634B">
      <w:pPr>
        <w:spacing w:after="0"/>
        <w:jc w:val="left"/>
        <w:rPr>
          <w:rFonts w:cstheme="minorHAnsi"/>
          <w:sz w:val="16"/>
          <w:szCs w:val="16"/>
        </w:rPr>
      </w:pPr>
      <w:r>
        <w:rPr>
          <w:rStyle w:val="af6"/>
          <w:rFonts w:cstheme="minorHAnsi"/>
          <w:sz w:val="16"/>
        </w:rPr>
        <w:footnoteRef/>
      </w:r>
      <w:r>
        <w:rPr>
          <w:rFonts w:cstheme="minorHAnsi"/>
          <w:sz w:val="16"/>
        </w:rPr>
        <w:t xml:space="preserve"> Ετήσια απογραφή αερίων θερμοκηπίου της Ευρωπαϊκής Ένωσης 1990–2016 [</w:t>
      </w:r>
      <w:hyperlink r:id="rId21">
        <w:r>
          <w:rPr>
            <w:rStyle w:val="-"/>
            <w:rFonts w:cstheme="minorHAnsi"/>
            <w:sz w:val="16"/>
          </w:rPr>
          <w:t>EEA greenhouse gas data viewer</w:t>
        </w:r>
      </w:hyperlink>
      <w:r>
        <w:rPr>
          <w:rFonts w:cstheme="minorHAnsi"/>
          <w:sz w:val="16"/>
        </w:rPr>
        <w:t xml:space="preserve"> (Απεικονιστής δεδομένων αερίων θερμοκηπίου του ΕΟΠ)]. </w:t>
      </w:r>
      <w:r>
        <w:rPr>
          <w:rFonts w:cstheme="minorHAnsi"/>
          <w:i/>
          <w:sz w:val="16"/>
        </w:rPr>
        <w:t xml:space="preserve">Proxy GHG emission estimates for 2017 [Προσεγγιστικές εκτιμήσεις εκπομπών αερίων θερμοκηπίου για το 2017], Approximated EU greenhouse gas inventory 2017 [Κατά προσέγγιση απογραφή αερίων θερμοκηπίου της ΕΕ για το 2017] </w:t>
      </w:r>
      <w:r>
        <w:rPr>
          <w:rFonts w:cstheme="minorHAnsi"/>
          <w:sz w:val="16"/>
        </w:rPr>
        <w:t>(Ευρωπαϊκός Οργανισμός Περιβάλλοντος)</w:t>
      </w:r>
      <w:r>
        <w:rPr>
          <w:rFonts w:cstheme="minorHAnsi"/>
          <w:i/>
          <w:sz w:val="16"/>
        </w:rPr>
        <w:t>.</w:t>
      </w:r>
      <w:r>
        <w:rPr>
          <w:rFonts w:cstheme="minorHAnsi"/>
          <w:sz w:val="16"/>
        </w:rPr>
        <w:t xml:space="preserve"> Εθνικές προβλέψεις των κρατών μελών, αναθεωρημένες από τον Ευρωπαϊκό Οργανισμό Περιβάλλοντος.</w:t>
      </w:r>
    </w:p>
  </w:footnote>
  <w:footnote w:id="23">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Οι τόποι κοινοτικής σημασίας (ΤΚΣ) χαρακτηρίζονται βάσει της οδηγίας για τους οικοτόπους, ενώ οι ζώνες ειδικής προστασίας (ΖΕΠ) χαρακτηρίζονται βάσει της οδηγίας για τα πτηνά· το άθροισμα δεν είναι ακριβές, επειδή ορισμένοι τόποι έχουν χαρακτηριστεί τόσο ΤΚΣ όσο και ΖΕΠ. Ως ειδικές ζώνες διατήρησης (ΕΖΔ) ορίζονται οι ΤΚΣ που έχουν μετέπειτα χαρακτηριστεί ΕΖΔ από τα κράτη μέλη.</w:t>
      </w:r>
    </w:p>
  </w:footnote>
  <w:footnote w:id="24">
    <w:p w:rsidR="0034634B" w:rsidRDefault="0034634B">
      <w:pPr>
        <w:pStyle w:val="ad"/>
        <w:widowControl w:val="0"/>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Για κάθε κράτος μέλος, η Επιτροπή αξιολογεί κατά πόσο τα είδη και οι τύποι οικοτόπων στα παραρτήματα Ι και ΙΙ της οδηγίας για τους οικοτόπους αντιπροσωπεύονται επαρκώς από τους τόπους που έχουν χαρακτηριστεί έως σήμερα. Αυτό εκφράζεται ως ποσοστό των ειδών και των οικοτόπων για τους οποίους πρέπει να οριστούν πρόσθετες περιοχές προκειμένου να ολοκληρωθεί το δίκτυο στην εν λόγω χώρα. </w:t>
      </w:r>
      <w:hyperlink r:id="rId22">
        <w:r>
          <w:rPr>
            <w:rStyle w:val="-"/>
            <w:rFonts w:asciiTheme="minorHAnsi" w:eastAsiaTheme="minorEastAsia" w:hAnsiTheme="minorHAnsi" w:cstheme="minorHAnsi"/>
            <w:sz w:val="16"/>
          </w:rPr>
          <w:t>Τα τρέχοντα δεδομένα</w:t>
        </w:r>
      </w:hyperlink>
      <w:r>
        <w:rPr>
          <w:rFonts w:asciiTheme="minorHAnsi" w:eastAsiaTheme="minorEastAsia" w:hAnsiTheme="minorHAnsi" w:cstheme="minorHAnsi"/>
          <w:sz w:val="16"/>
        </w:rPr>
        <w:t>, τα οποία αξιολογήθηκαν το 2014-2015, αντικατοπτρίζουν την κατάσταση έως τον Δεκέμβριο του 2013.</w:t>
      </w:r>
    </w:p>
  </w:footnote>
  <w:footnote w:id="25">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Ελληνική Δημοκρατία, Νόμος 3937/2011.</w:t>
      </w:r>
    </w:p>
  </w:footnote>
  <w:footnote w:id="26">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Ελληνική Δημοκρατία, Υπουργική απόφαση 40332/2014.</w:t>
      </w:r>
    </w:p>
  </w:footnote>
  <w:footnote w:id="27">
    <w:p w:rsidR="0034634B" w:rsidRDefault="0034634B">
      <w:pPr>
        <w:pStyle w:val="ad"/>
        <w:widowControl w:val="0"/>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Ελληνική Δημοκρατία, Περίοδος 2007-2012. Πυρήνας της έκθεσης «δυνάμει του άρθρου 17» είναι η αξιολόγηση της κατάστασης για τη διατήρηση των οικοτόπων και των ειδών που καλύπτονται από την οδηγία για τους οικοτόπους.</w:t>
      </w:r>
    </w:p>
  </w:footnote>
  <w:footnote w:id="28">
    <w:p w:rsidR="0034634B" w:rsidRDefault="0034634B">
      <w:pPr>
        <w:pStyle w:val="ad"/>
        <w:widowControl w:val="0"/>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Η κατάσταση της διατήρησης, που καταρτίζεται από την Ελληνική Δημοκρατία, αξιολογείται με τυποποιημένη μεθοδολογία που βασίζεται στους χαρακτηρισμούς «ικανοποιητική», «μη ικανοποιητική-ανεπαρκής» και «μη ικανοποιητική-κακή», σύμφωνα με τις τέσσερις παραμέτρους που ορίζονται στο άρθρο 1 της οδηγίας για τους οικοτόπους.</w:t>
      </w:r>
    </w:p>
  </w:footnote>
  <w:footnote w:id="29">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Τα δεδομένα για την κατάσταση διατήρησης που χρησιμοποιούνται στην ΕΕΠΠ του 2019 προέρχονται από την περίοδο υποβολής εκθέσεων 2007-2012 βάσει της οδηγίας για τους οικοτόπους, δηλαδή πρόκειται για τα ίδια δεδομένα που θα έπρεπε να είχαν χρησιμοποιηθεί και στην ΕΕΠΠ του 2017. Ωστόσο, κατά τη στιγμή της σύνταξης της εν λόγω έκθεσης, η Ελλάδα δεν είχε υποβάλει ακόμη τα δεδομένα αυτά, επομένως χρησιμοποιήθηκαν τα δεδομένα της περιόδου 2001-2006.</w:t>
      </w:r>
    </w:p>
  </w:footnote>
  <w:footnote w:id="30">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Ευρωπαϊκή Επιτροπή, </w:t>
      </w:r>
      <w:hyperlink r:id="rId23">
        <w:r>
          <w:rPr>
            <w:rStyle w:val="-"/>
            <w:rFonts w:asciiTheme="minorHAnsi" w:hAnsiTheme="minorHAnsi" w:cstheme="minorHAnsi"/>
            <w:sz w:val="16"/>
          </w:rPr>
          <w:t>Συστάσεις της έκθεσης επανεξέτασης της στρατηγικής για την πράσινη υποδομή</w:t>
        </w:r>
      </w:hyperlink>
      <w:r>
        <w:rPr>
          <w:rFonts w:asciiTheme="minorHAnsi" w:hAnsiTheme="minorHAnsi" w:cstheme="minorHAnsi"/>
          <w:sz w:val="16"/>
        </w:rPr>
        <w:t xml:space="preserve"> και </w:t>
      </w:r>
      <w:r>
        <w:rPr>
          <w:rStyle w:val="-"/>
          <w:rFonts w:asciiTheme="minorHAnsi" w:hAnsiTheme="minorHAnsi" w:cstheme="minorHAnsi"/>
          <w:color w:val="auto"/>
          <w:sz w:val="16"/>
          <w:u w:val="none"/>
        </w:rPr>
        <w:t>EU Guidance on a strategic framework for further supporting the deployment of EU-level green and blue infrastructure</w:t>
      </w:r>
      <w:r>
        <w:rPr>
          <w:rFonts w:asciiTheme="minorHAnsi" w:hAnsiTheme="minorHAnsi" w:cstheme="minorHAnsi"/>
          <w:sz w:val="16"/>
        </w:rPr>
        <w:t xml:space="preserve"> (Καθοδήγηση της ΕΕ σχετικά με ένα στρατηγικό πλαίσιο για την περαιτέρω στήριξη της ανάπτυξης πράσινης και γαλάζιας υποδομής σε επίπεδο ΕΕ).</w:t>
      </w:r>
    </w:p>
  </w:footnote>
  <w:footnote w:id="31">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w:t>
      </w:r>
      <w:hyperlink r:id="rId24">
        <w:r>
          <w:rPr>
            <w:rStyle w:val="-"/>
            <w:rFonts w:asciiTheme="minorHAnsi" w:hAnsiTheme="minorHAnsi" w:cstheme="minorHAnsi"/>
            <w:sz w:val="16"/>
          </w:rPr>
          <w:t>Biodiversity Information System for Europe (Σύστημα πληροφοριών για τη βιοποικιλότητα στην Ευρώπη).</w:t>
        </w:r>
      </w:hyperlink>
    </w:p>
  </w:footnote>
  <w:footnote w:id="32">
    <w:p w:rsidR="0034634B" w:rsidRDefault="0034634B">
      <w:pPr>
        <w:pStyle w:val="ad"/>
        <w:jc w:val="left"/>
        <w:rPr>
          <w:rFonts w:asciiTheme="minorHAnsi" w:hAnsiTheme="minorHAnsi" w:cstheme="minorHAnsi"/>
          <w:sz w:val="16"/>
          <w:szCs w:val="16"/>
        </w:rPr>
      </w:pPr>
      <w:r>
        <w:rPr>
          <w:rStyle w:val="FootnoteCharacters"/>
          <w:rFonts w:asciiTheme="minorHAnsi" w:hAnsiTheme="minorHAnsi" w:cstheme="minorHAnsi"/>
          <w:sz w:val="16"/>
          <w:vertAlign w:val="superscript"/>
        </w:rPr>
        <w:footnoteRef/>
      </w:r>
      <w:r>
        <w:rPr>
          <w:rFonts w:asciiTheme="minorHAnsi" w:hAnsiTheme="minorHAnsi" w:cstheme="minorHAnsi"/>
          <w:sz w:val="16"/>
        </w:rPr>
        <w:t xml:space="preserve"> Ως οικοσυστημικές υπηρεσίες ορίζονται τα οφέλη που μας παρέχει η φύση, όπως η τροφή, το καθαρό νερό και η επικονίαση των φυτών, από τα οποία εξαρτάται η ανθρώπινη κοινωνία.</w:t>
      </w:r>
    </w:p>
  </w:footnote>
  <w:footnote w:id="33">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Ecological and Sustainability data journal (Επιστημονικό περιοδικό για την οικολογία και τη βιωσιμότητα), </w:t>
      </w:r>
      <w:hyperlink r:id="rId25">
        <w:r>
          <w:rPr>
            <w:rStyle w:val="-"/>
            <w:rFonts w:asciiTheme="minorHAnsi" w:hAnsiTheme="minorHAnsi" w:cstheme="minorHAnsi"/>
            <w:sz w:val="16"/>
          </w:rPr>
          <w:t>The need for the implementation of an Ecosystem Services assessment in Greece: drafting the national agenda</w:t>
        </w:r>
      </w:hyperlink>
      <w:r>
        <w:t xml:space="preserve"> </w:t>
      </w:r>
      <w:r>
        <w:rPr>
          <w:rFonts w:asciiTheme="minorHAnsi" w:hAnsiTheme="minorHAnsi" w:cstheme="minorHAnsi"/>
          <w:sz w:val="16"/>
        </w:rPr>
        <w:t>(Ανάγκη διενέργειας αξιολόγησης των οικοσυστημικών υπηρεσιών στην Ελλάδα: κατάρτιση του εθνικού θεματολογίου).</w:t>
      </w:r>
      <w:r>
        <w:t xml:space="preserve"> </w:t>
      </w:r>
    </w:p>
  </w:footnote>
  <w:footnote w:id="34">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Biodiversity information System for Europe (Σύστημα πληροφοριών για τη βιοποικιλότητα στην Ευρώπη), </w:t>
      </w:r>
      <w:hyperlink r:id="rId26">
        <w:r>
          <w:rPr>
            <w:rStyle w:val="-"/>
            <w:rFonts w:asciiTheme="minorHAnsi" w:hAnsiTheme="minorHAnsi" w:cstheme="minorHAnsi"/>
            <w:sz w:val="16"/>
          </w:rPr>
          <w:t>MAES-related developments in Greece</w:t>
        </w:r>
      </w:hyperlink>
      <w:r>
        <w:t xml:space="preserve"> </w:t>
      </w:r>
      <w:r>
        <w:rPr>
          <w:rFonts w:asciiTheme="minorHAnsi" w:eastAsiaTheme="minorEastAsia" w:hAnsiTheme="minorHAnsi" w:cstheme="minorHAnsi"/>
          <w:sz w:val="16"/>
        </w:rPr>
        <w:t>(Εξελίξεις που αφορούν τη MAES στην Ελλάδα).</w:t>
      </w:r>
      <w:r>
        <w:rPr>
          <w:rFonts w:asciiTheme="minorHAnsi" w:hAnsiTheme="minorHAnsi" w:cstheme="minorHAnsi"/>
          <w:sz w:val="16"/>
        </w:rPr>
        <w:t xml:space="preserve"> </w:t>
      </w:r>
    </w:p>
  </w:footnote>
  <w:footnote w:id="35">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Έργο της ΕΕ, </w:t>
      </w:r>
      <w:hyperlink r:id="rId27">
        <w:r>
          <w:rPr>
            <w:rStyle w:val="-"/>
            <w:rFonts w:asciiTheme="minorHAnsi" w:hAnsiTheme="minorHAnsi" w:cstheme="minorHAnsi"/>
            <w:sz w:val="16"/>
          </w:rPr>
          <w:t>Esmeralda</w:t>
        </w:r>
      </w:hyperlink>
      <w:r>
        <w:t>.</w:t>
      </w:r>
      <w:r>
        <w:rPr>
          <w:rFonts w:asciiTheme="minorHAnsi" w:hAnsiTheme="minorHAnsi" w:cstheme="minorHAnsi"/>
          <w:sz w:val="16"/>
        </w:rPr>
        <w:t xml:space="preserve"> </w:t>
      </w:r>
    </w:p>
  </w:footnote>
  <w:footnote w:id="36">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Natural Capital Coalition (Συμμαχία για το φυσικό κεφάλαιο), </w:t>
      </w:r>
      <w:hyperlink r:id="rId28">
        <w:r>
          <w:rPr>
            <w:rStyle w:val="-"/>
            <w:rFonts w:asciiTheme="minorHAnsi" w:eastAsiaTheme="minorEastAsia" w:hAnsiTheme="minorHAnsi" w:cstheme="minorHAnsi"/>
            <w:sz w:val="16"/>
          </w:rPr>
          <w:t>Natural Capital Protocol</w:t>
        </w:r>
      </w:hyperlink>
      <w:r>
        <w:t xml:space="preserve"> </w:t>
      </w:r>
      <w:r>
        <w:rPr>
          <w:rFonts w:asciiTheme="minorHAnsi" w:eastAsiaTheme="minorEastAsia" w:hAnsiTheme="minorHAnsi" w:cstheme="minorHAnsi"/>
          <w:sz w:val="16"/>
        </w:rPr>
        <w:t>(Πρωτόκολλο για το φυσικό κεφάλαιο).</w:t>
      </w:r>
    </w:p>
  </w:footnote>
  <w:footnote w:id="37">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Η εκστρατεία «Business and Biodiversity», </w:t>
      </w:r>
      <w:hyperlink r:id="rId29" w:anchor="_blank">
        <w:r>
          <w:rPr>
            <w:rStyle w:val="-"/>
            <w:rFonts w:asciiTheme="minorHAnsi" w:eastAsiaTheme="minorEastAsia" w:hAnsiTheme="minorHAnsi" w:cstheme="minorHAnsi"/>
            <w:sz w:val="16"/>
          </w:rPr>
          <w:t>η ευρωπαϊκή εκστρατεία για τις επιχειρήσεις και τη βιοποικιλότητα</w:t>
        </w:r>
      </w:hyperlink>
      <w:r>
        <w:rPr>
          <w:rFonts w:asciiTheme="minorHAnsi" w:eastAsiaTheme="minorEastAsia" w:hAnsiTheme="minorHAnsi" w:cstheme="minorHAnsi"/>
          <w:sz w:val="16"/>
        </w:rPr>
        <w:t>, έχει ως στόχο να προαγάγει το επιχειρηματικό ενδιαφέρον για τη βιοποικιλότητα στα κράτη μέλη της ΕΕ, μέσω εργαστηρίων, σεμιναρίων και στρατηγικής επικοινωνίας πολλαπλών μέσων.</w:t>
      </w:r>
    </w:p>
  </w:footnote>
  <w:footnote w:id="38">
    <w:p w:rsidR="0034634B" w:rsidRDefault="0034634B" w:rsidP="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lang w:val="pt-PT"/>
        </w:rPr>
        <w:t xml:space="preserve"> Tsiamis K; Gervasini E; Deriu I; D`amico F; Nunes A; Addamo A; De Jesus Cardoso A. </w:t>
      </w:r>
      <w:hyperlink r:id="rId30">
        <w:r>
          <w:rPr>
            <w:rStyle w:val="-"/>
            <w:rFonts w:asciiTheme="minorHAnsi" w:eastAsiaTheme="minorEastAsia" w:hAnsiTheme="minorHAnsi" w:cstheme="minorHAnsi"/>
            <w:sz w:val="16"/>
          </w:rPr>
          <w:t>Baseline Distribution of Invasive Alien Species of Union concern</w:t>
        </w:r>
      </w:hyperlink>
      <w:r>
        <w:t xml:space="preserve"> </w:t>
      </w:r>
      <w:r>
        <w:rPr>
          <w:rFonts w:asciiTheme="minorHAnsi" w:eastAsiaTheme="minorEastAsia" w:hAnsiTheme="minorHAnsi" w:cstheme="minorHAnsi"/>
          <w:sz w:val="16"/>
        </w:rPr>
        <w:t>(Κατανομή αναφοράς χωροκατακτητικών ξένων ειδών ενωσιακού ενδιαφέροντος)</w:t>
      </w:r>
      <w:hyperlink r:id="rId31">
        <w:r>
          <w:rPr>
            <w:rStyle w:val="-"/>
            <w:rFonts w:asciiTheme="minorHAnsi" w:eastAsiaTheme="minorEastAsia" w:hAnsiTheme="minorHAnsi" w:cstheme="minorHAnsi"/>
            <w:sz w:val="16"/>
          </w:rPr>
          <w:t xml:space="preserve"> Ispra (Ιταλία): Υπηρεσία Εκδόσεων της Ευρωπαϊκής Ένωσης</w:t>
        </w:r>
      </w:hyperlink>
      <w:r>
        <w:rPr>
          <w:rFonts w:asciiTheme="minorHAnsi" w:eastAsiaTheme="minorEastAsia" w:hAnsiTheme="minorHAnsi" w:cstheme="minorHAnsi"/>
          <w:sz w:val="16"/>
        </w:rPr>
        <w:t>· 2017, EUR 28596 EN, doi:10.2760/772692.</w:t>
      </w:r>
    </w:p>
  </w:footnote>
  <w:footnote w:id="39">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Eurostat, </w:t>
      </w:r>
      <w:hyperlink r:id="rId32">
        <w:r>
          <w:rPr>
            <w:rStyle w:val="-"/>
            <w:rFonts w:asciiTheme="minorHAnsi" w:eastAsiaTheme="minorEastAsia" w:hAnsiTheme="minorHAnsi" w:cstheme="minorHAnsi"/>
            <w:sz w:val="16"/>
          </w:rPr>
          <w:t>Land covered by artificial surfaces by NUTS 2 regions</w:t>
        </w:r>
      </w:hyperlink>
      <w:r>
        <w:t xml:space="preserve"> </w:t>
      </w:r>
      <w:r>
        <w:rPr>
          <w:rFonts w:asciiTheme="minorHAnsi" w:eastAsiaTheme="minorEastAsia" w:hAnsiTheme="minorHAnsi" w:cstheme="minorHAnsi"/>
          <w:sz w:val="16"/>
        </w:rPr>
        <w:t>(Γη που καλύπτεται από τεχνητές επιφάνειες ανά περιφέρειες επιπέδου NUTS 2).</w:t>
      </w:r>
    </w:p>
  </w:footnote>
  <w:footnote w:id="40">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Eurostat, </w:t>
      </w:r>
      <w:hyperlink r:id="rId33">
        <w:r>
          <w:rPr>
            <w:rStyle w:val="-"/>
            <w:rFonts w:asciiTheme="minorHAnsi" w:eastAsiaTheme="minorEastAsia" w:hAnsiTheme="minorHAnsi" w:cstheme="minorHAnsi"/>
            <w:sz w:val="16"/>
          </w:rPr>
          <w:t>Population density by NUTS 3 region</w:t>
        </w:r>
      </w:hyperlink>
      <w:r>
        <w:rPr>
          <w:rFonts w:asciiTheme="minorHAnsi" w:eastAsiaTheme="minorEastAsia" w:hAnsiTheme="minorHAnsi" w:cstheme="minorHAnsi"/>
          <w:sz w:val="16"/>
        </w:rPr>
        <w:t xml:space="preserve"> (Πυκνότητα πληθυσμού ανά περιφέρεια επιπέδου NUTS 3).</w:t>
      </w:r>
    </w:p>
  </w:footnote>
  <w:footnote w:id="41">
    <w:p w:rsidR="0034634B" w:rsidRDefault="0034634B">
      <w:pPr>
        <w:autoSpaceDE w:val="0"/>
        <w:autoSpaceDN w:val="0"/>
        <w:adjustRightInd w:val="0"/>
        <w:spacing w:after="0"/>
        <w:jc w:val="left"/>
        <w:rPr>
          <w:rFonts w:cstheme="minorHAnsi"/>
          <w:sz w:val="16"/>
          <w:szCs w:val="16"/>
        </w:rPr>
      </w:pPr>
      <w:r>
        <w:rPr>
          <w:rStyle w:val="ae"/>
          <w:rFonts w:cstheme="minorHAnsi"/>
          <w:sz w:val="16"/>
        </w:rPr>
        <w:footnoteRef/>
      </w:r>
      <w:r>
        <w:rPr>
          <w:rFonts w:cstheme="minorHAnsi"/>
          <w:sz w:val="16"/>
        </w:rPr>
        <w:t xml:space="preserve"> Ana Paya Perez, Natalia Rodriguez Eugenio (2018), Status of local soil contamination in Europe: Revision of the indicator “Progress in the management Contaminated Sites in Europe” (Κατάσταση της ρύπανσης του εδάφους στην Ευρώπη: Αναθεώρηση του δείκτη για την πρόοδο στη διαχείριση μολυσμένων τοποθεσιών στην Ευρώπη).</w:t>
      </w:r>
    </w:p>
  </w:footnote>
  <w:footnote w:id="42">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Panagos, P., Borrelli, P., Poesen, J., Ballabio, C., Lugato, E., Meusburger, K., Montanarella, L., Alewell, C., The new assessment of soil loss by water erosion in Europe (Η νέα αξιολόγηση της απώλειας εδαφών από την υδατική διάβρωση στην Ευρώπη), (2015) Environmental Science and Policy, 54, σ. 438-447.</w:t>
      </w:r>
    </w:p>
  </w:footnote>
  <w:footnote w:id="43">
    <w:p w:rsidR="0034634B" w:rsidRDefault="0034634B">
      <w:pPr>
        <w:pStyle w:val="ad"/>
        <w:jc w:val="left"/>
        <w:rPr>
          <w:rFonts w:asciiTheme="minorHAnsi" w:hAnsiTheme="minorHAnsi" w:cstheme="minorHAnsi"/>
          <w:sz w:val="16"/>
          <w:szCs w:val="16"/>
        </w:rPr>
      </w:pPr>
      <w:r>
        <w:rPr>
          <w:rFonts w:asciiTheme="minorHAnsi" w:hAnsiTheme="minorHAnsi" w:cstheme="minorHAnsi"/>
          <w:sz w:val="16"/>
          <w:vertAlign w:val="superscript"/>
        </w:rPr>
        <w:footnoteRef/>
      </w:r>
      <w:r>
        <w:rPr>
          <w:rFonts w:asciiTheme="minorHAnsi" w:hAnsiTheme="minorHAnsi" w:cstheme="minorHAnsi"/>
          <w:sz w:val="16"/>
        </w:rPr>
        <w:t xml:space="preserve"> Ευρωπαϊκή Ένωση,</w:t>
      </w:r>
      <w:r>
        <w:t xml:space="preserve"> </w:t>
      </w:r>
      <w:hyperlink r:id="rId34">
        <w:r>
          <w:rPr>
            <w:rStyle w:val="-"/>
            <w:rFonts w:asciiTheme="minorHAnsi" w:hAnsiTheme="minorHAnsi" w:cstheme="minorHAnsi"/>
            <w:sz w:val="16"/>
          </w:rPr>
          <w:t>Οδηγία-πλαίσιο για τη θαλάσσια στρατηγική (2008/56/ΕΚ)</w:t>
        </w:r>
      </w:hyperlink>
      <w:r>
        <w:t>.</w:t>
      </w:r>
    </w:p>
  </w:footnote>
  <w:footnote w:id="44">
    <w:p w:rsidR="0034634B" w:rsidRDefault="0034634B">
      <w:pPr>
        <w:pStyle w:val="ad"/>
        <w:jc w:val="left"/>
        <w:rPr>
          <w:rFonts w:asciiTheme="minorHAnsi" w:hAnsiTheme="minorHAnsi" w:cstheme="minorHAnsi"/>
          <w:sz w:val="16"/>
          <w:szCs w:val="16"/>
        </w:rPr>
      </w:pPr>
      <w:r>
        <w:rPr>
          <w:rStyle w:val="FootnoteCharacters"/>
          <w:rFonts w:asciiTheme="minorHAnsi" w:hAnsiTheme="minorHAnsi" w:cstheme="minorHAnsi"/>
          <w:sz w:val="16"/>
          <w:vertAlign w:val="superscript"/>
        </w:rPr>
        <w:footnoteRef/>
      </w:r>
      <w:r>
        <w:rPr>
          <w:rFonts w:asciiTheme="minorHAnsi" w:hAnsiTheme="minorHAnsi" w:cstheme="minorHAnsi"/>
          <w:sz w:val="16"/>
          <w:vertAlign w:val="superscript"/>
        </w:rPr>
        <w:t xml:space="preserve"> </w:t>
      </w:r>
      <w:r>
        <w:rPr>
          <w:rFonts w:asciiTheme="minorHAnsi" w:hAnsiTheme="minorHAnsi" w:cstheme="minorHAnsi"/>
          <w:sz w:val="16"/>
        </w:rPr>
        <w:t xml:space="preserve">Ευρωπαϊκή Επιτροπή, 2016. </w:t>
      </w:r>
      <w:hyperlink r:id="rId35">
        <w:r>
          <w:rPr>
            <w:rStyle w:val="-"/>
            <w:rFonts w:asciiTheme="minorHAnsi" w:hAnsiTheme="minorHAnsi" w:cstheme="minorHAnsi"/>
            <w:sz w:val="16"/>
          </w:rPr>
          <w:t>Πρότυπα ποιότητας του αέρα.</w:t>
        </w:r>
      </w:hyperlink>
    </w:p>
  </w:footnote>
  <w:footnote w:id="45">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w:t>
      </w:r>
      <w:hyperlink r:id="rId36">
        <w:r>
          <w:rPr>
            <w:rStyle w:val="-"/>
            <w:rFonts w:asciiTheme="minorHAnsi" w:eastAsiaTheme="minorEastAsia" w:hAnsiTheme="minorHAnsi" w:cstheme="minorHAnsi"/>
            <w:sz w:val="16"/>
          </w:rPr>
          <w:t>Οδηγία 2016/2284/ΕΕ.</w:t>
        </w:r>
      </w:hyperlink>
    </w:p>
  </w:footnote>
  <w:footnote w:id="46">
    <w:p w:rsidR="0034634B" w:rsidRDefault="0034634B">
      <w:pPr>
        <w:pStyle w:val="ad"/>
        <w:widowControl w:val="0"/>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Τα αιωρούμενα σωματίδια (PM) είναι ένα μείγμα σωματιδίων αερολύματος (στερεών και υγρών) που καλύπτουν ευρύ φάσμα μεγεθών και χημικών συνθέσεων. Η ένδειξη PM10 (PM2,5) αναφέρεται στα σωματίδια με διάμετρο 10 (2,5) μικρομέτρων και κάτω. Σωματιδιακό υλικό εκπέμπεται από πολλές ανθρωπογενείς πηγές, συμπεριλαμβανομένων των πηγών καύσης αλλά και πηγών εκπομπών εκτός καύσης.</w:t>
      </w:r>
    </w:p>
  </w:footnote>
  <w:footnote w:id="47">
    <w:p w:rsidR="0034634B" w:rsidRDefault="0034634B">
      <w:pPr>
        <w:pStyle w:val="ad"/>
        <w:widowControl w:val="0"/>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Το όζον στην επιφάνεια του εδάφους είναι προϊόν φωτοχημικής αντίδρασης λόγω της ρύπανσης.</w:t>
      </w:r>
    </w:p>
  </w:footnote>
  <w:footnote w:id="48">
    <w:p w:rsidR="0034634B" w:rsidRDefault="0034634B">
      <w:pPr>
        <w:pStyle w:val="ad"/>
        <w:widowControl w:val="0"/>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ΕΟΠ, </w:t>
      </w:r>
      <w:hyperlink r:id="rId37">
        <w:r>
          <w:rPr>
            <w:rStyle w:val="-"/>
            <w:rFonts w:asciiTheme="minorHAnsi" w:eastAsiaTheme="minorEastAsia" w:hAnsiTheme="minorHAnsi" w:cstheme="minorHAnsi"/>
            <w:sz w:val="16"/>
          </w:rPr>
          <w:t>Air Quality in Europe – 2018 Report</w:t>
        </w:r>
      </w:hyperlink>
      <w:r>
        <w:t xml:space="preserve"> </w:t>
      </w:r>
      <w:r>
        <w:rPr>
          <w:rFonts w:asciiTheme="minorHAnsi" w:eastAsiaTheme="minorEastAsia" w:hAnsiTheme="minorHAnsi" w:cstheme="minorHAnsi"/>
          <w:sz w:val="16"/>
        </w:rPr>
        <w:t>(Έκθεση σχετικά με την ποιότητα του αέρα στην Ευρώπη για το 2018), σ. 64 (Βλ. την εν λόγω έκθεση για λεπτομέρειες σχετικά με τη μεθοδολογία που ακολουθήθηκε).</w:t>
      </w:r>
    </w:p>
  </w:footnote>
  <w:footnote w:id="49">
    <w:p w:rsidR="0034634B" w:rsidRDefault="0034634B">
      <w:pPr>
        <w:pStyle w:val="ad"/>
        <w:widowControl w:val="0"/>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Τα NOx εκπέμπονται στη διάρκεια της καύσης καυσίμων υλικών, π.χ. από βιομηχανικές εγκαταστάσεις και από τις οδικές μεταφορές. Τα NOx είναι μια ομάδα αερίων που περιλαμβάνει το μονοξείδιο του αζώτου (NO) και το διοξείδιο του αζώτου (NO</w:t>
      </w:r>
      <w:r>
        <w:rPr>
          <w:rFonts w:asciiTheme="minorHAnsi" w:eastAsiaTheme="minorEastAsia" w:hAnsiTheme="minorHAnsi" w:cstheme="minorHAnsi"/>
          <w:sz w:val="16"/>
          <w:vertAlign w:val="subscript"/>
        </w:rPr>
        <w:t>2</w:t>
      </w:r>
      <w:r>
        <w:rPr>
          <w:rFonts w:asciiTheme="minorHAnsi" w:eastAsiaTheme="minorEastAsia" w:hAnsiTheme="minorHAnsi" w:cstheme="minorHAnsi"/>
          <w:sz w:val="16"/>
        </w:rPr>
        <w:t>).</w:t>
      </w:r>
    </w:p>
  </w:footnote>
  <w:footnote w:id="50">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Δεδομένα του 2016 για τα εθνικά ανώτατα όρια εκπομπών που υποβλήθηκαν από το κράτος μέλος στον ΕΟΠ.</w:t>
      </w:r>
    </w:p>
  </w:footnote>
  <w:footnote w:id="51">
    <w:p w:rsidR="0034634B" w:rsidRDefault="0034634B">
      <w:pPr>
        <w:spacing w:after="0"/>
        <w:jc w:val="left"/>
        <w:rPr>
          <w:rFonts w:cstheme="minorHAnsi"/>
          <w:sz w:val="16"/>
          <w:szCs w:val="16"/>
          <w:u w:val="single"/>
        </w:rPr>
      </w:pPr>
      <w:r>
        <w:rPr>
          <w:rStyle w:val="ae"/>
          <w:rFonts w:cstheme="minorHAnsi"/>
          <w:sz w:val="16"/>
        </w:rPr>
        <w:footnoteRef/>
      </w:r>
      <w:r>
        <w:rPr>
          <w:rFonts w:cstheme="minorHAnsi"/>
          <w:sz w:val="16"/>
        </w:rPr>
        <w:t xml:space="preserve"> </w:t>
      </w:r>
      <w:hyperlink r:id="rId38">
        <w:r>
          <w:rPr>
            <w:rFonts w:cstheme="minorHAnsi"/>
            <w:color w:val="0000FF"/>
            <w:sz w:val="16"/>
            <w:u w:val="single"/>
          </w:rPr>
          <w:t xml:space="preserve">ΕΟΠ, Κεντρικό αποθετήριο δεδομένων EIONET, </w:t>
        </w:r>
      </w:hyperlink>
      <w:r>
        <w:rPr>
          <w:rFonts w:eastAsiaTheme="minorEastAsia" w:cstheme="minorHAnsi"/>
          <w:sz w:val="16"/>
        </w:rPr>
        <w:t xml:space="preserve">Πρωτογενή δεδομένα (σύνολο δεδομένων E1a). </w:t>
      </w:r>
    </w:p>
  </w:footnote>
  <w:footnote w:id="52">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Ευρωπαϊκό Ελεγκτικό Συνέδριο, Ειδική έκθεση αριθ. 23/2018, </w:t>
      </w:r>
      <w:hyperlink r:id="rId39">
        <w:r>
          <w:rPr>
            <w:rStyle w:val="-"/>
            <w:rFonts w:asciiTheme="minorHAnsi" w:hAnsiTheme="minorHAnsi" w:cstheme="minorHAnsi"/>
            <w:sz w:val="16"/>
          </w:rPr>
          <w:t>Ατμοσφαιρική ρύπανση: Η προστασία της υγείας μας παραμένει ανεπαρκής</w:t>
        </w:r>
      </w:hyperlink>
      <w:r>
        <w:rPr>
          <w:rFonts w:asciiTheme="minorHAnsi" w:hAnsiTheme="minorHAnsi" w:cstheme="minorHAnsi"/>
          <w:sz w:val="16"/>
        </w:rPr>
        <w:t>, σ. 41.</w:t>
      </w:r>
    </w:p>
  </w:footnote>
  <w:footnote w:id="53">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Σύμφωνα με το άρθρο 5 της </w:t>
      </w:r>
      <w:hyperlink r:id="rId40">
        <w:r>
          <w:rPr>
            <w:rStyle w:val="-"/>
            <w:rFonts w:asciiTheme="minorHAnsi" w:eastAsiaTheme="minorEastAsia" w:hAnsiTheme="minorHAnsi" w:cstheme="minorHAnsi"/>
            <w:sz w:val="16"/>
          </w:rPr>
          <w:t>εκτελεστικής απόφασης 2011/850/ΕΕ της Επιτροπής</w:t>
        </w:r>
      </w:hyperlink>
      <w:r>
        <w:rPr>
          <w:rFonts w:asciiTheme="minorHAnsi" w:eastAsiaTheme="minorEastAsia" w:hAnsiTheme="minorHAnsi" w:cstheme="minorHAnsi"/>
          <w:sz w:val="16"/>
        </w:rPr>
        <w:t>, της 12ης Δεκεμβρίου 2011, σχετικά με τον καθορισμό κανόνων για τις οδηγίες του Ευρωπαϊκού Κοινοβουλίου και του Συμβουλίου </w:t>
      </w:r>
      <w:hyperlink r:id="rId41">
        <w:r>
          <w:rPr>
            <w:rStyle w:val="-"/>
            <w:rFonts w:asciiTheme="minorHAnsi" w:eastAsiaTheme="minorEastAsia" w:hAnsiTheme="minorHAnsi" w:cstheme="minorHAnsi"/>
            <w:sz w:val="16"/>
          </w:rPr>
          <w:t>2004/107/ΕΚ</w:t>
        </w:r>
      </w:hyperlink>
      <w:r>
        <w:rPr>
          <w:rFonts w:asciiTheme="minorHAnsi" w:eastAsiaTheme="minorEastAsia" w:hAnsiTheme="minorHAnsi" w:cstheme="minorHAnsi"/>
          <w:sz w:val="16"/>
        </w:rPr>
        <w:t xml:space="preserve"> και </w:t>
      </w:r>
      <w:hyperlink r:id="rId42">
        <w:r>
          <w:rPr>
            <w:rStyle w:val="-"/>
            <w:rFonts w:asciiTheme="minorHAnsi" w:eastAsiaTheme="minorEastAsia" w:hAnsiTheme="minorHAnsi" w:cstheme="minorHAnsi"/>
            <w:sz w:val="16"/>
          </w:rPr>
          <w:t>2008/50/ΕΚ</w:t>
        </w:r>
      </w:hyperlink>
      <w:r>
        <w:rPr>
          <w:rFonts w:asciiTheme="minorHAnsi" w:eastAsiaTheme="minorEastAsia" w:hAnsiTheme="minorHAnsi" w:cstheme="minorHAnsi"/>
          <w:sz w:val="16"/>
        </w:rPr>
        <w:t xml:space="preserve"> όσον αφορά την αμοιβαία ανταλλαγή πληροφοριών και την υποβολή εκθέσεων για την ποιότητα του ατμοσφαιρικού αέρα (ΕΕ L 335 της 17.12.2011, σ. 86), τα κράτη μέλη πρέπει να παρέχουν επίκαιρα δεδομένα.</w:t>
      </w:r>
    </w:p>
  </w:footnote>
  <w:footnote w:id="54">
    <w:p w:rsidR="0034634B" w:rsidRDefault="0034634B">
      <w:pPr>
        <w:pStyle w:val="ad"/>
        <w:jc w:val="left"/>
        <w:rPr>
          <w:rFonts w:asciiTheme="minorHAnsi" w:eastAsiaTheme="minorHAnsi" w:hAnsiTheme="minorHAnsi" w:cstheme="minorHAnsi"/>
          <w:sz w:val="16"/>
          <w:szCs w:val="22"/>
        </w:rPr>
      </w:pPr>
      <w:r>
        <w:rPr>
          <w:rFonts w:asciiTheme="minorHAnsi" w:hAnsiTheme="minorHAnsi" w:cstheme="minorHAnsi"/>
          <w:sz w:val="16"/>
          <w:vertAlign w:val="superscript"/>
        </w:rPr>
        <w:footnoteRef/>
      </w:r>
      <w:r>
        <w:rPr>
          <w:rFonts w:asciiTheme="minorHAnsi" w:hAnsiTheme="minorHAnsi" w:cstheme="minorHAnsi"/>
          <w:sz w:val="16"/>
        </w:rPr>
        <w:t xml:space="preserve"> Η </w:t>
      </w:r>
      <w:hyperlink r:id="rId43">
        <w:r>
          <w:rPr>
            <w:rStyle w:val="-"/>
            <w:rFonts w:asciiTheme="minorHAnsi" w:hAnsiTheme="minorHAnsi" w:cstheme="minorHAnsi"/>
            <w:sz w:val="16"/>
          </w:rPr>
          <w:t>οδηγία 2010/75/ΕΕ</w:t>
        </w:r>
      </w:hyperlink>
      <w:r>
        <w:t xml:space="preserve"> </w:t>
      </w:r>
      <w:r>
        <w:rPr>
          <w:rFonts w:asciiTheme="minorHAnsi" w:eastAsiaTheme="minorHAnsi" w:hAnsiTheme="minorHAnsi" w:cstheme="minorHAnsi"/>
          <w:sz w:val="16"/>
          <w:szCs w:val="22"/>
        </w:rPr>
        <w:t>καλύπτει βιομηχανικές δραστηριότητες που διεξάγονται πάνω από ορισμένα όρια. Η οδηγία καλύπτει την ενεργειακή βιομηχανία, την παραγωγή μετάλλων, τη βιομηχανία ορυκτών και χημικών προϊόντων και τη διαχείριση αποβλήτων, καθώς και ευρύ φάσμα βιομηχανικών και γεωργικών τομέων (π.χ. εντατική εκτροφή χοίρων και πουλερικών, παραγωγή χαρτοπολτού και χαρτιού, βαφή και καθαρισμός).</w:t>
      </w:r>
    </w:p>
  </w:footnote>
  <w:footnote w:id="55">
    <w:p w:rsidR="0034634B" w:rsidRDefault="0034634B">
      <w:pPr>
        <w:spacing w:after="0"/>
        <w:jc w:val="left"/>
        <w:rPr>
          <w:rFonts w:cstheme="minorHAnsi"/>
          <w:sz w:val="16"/>
          <w:szCs w:val="16"/>
        </w:rPr>
      </w:pPr>
      <w:r>
        <w:rPr>
          <w:rStyle w:val="ae"/>
          <w:rFonts w:cstheme="minorHAnsi"/>
          <w:sz w:val="16"/>
        </w:rPr>
        <w:footnoteRef/>
      </w:r>
      <w:r>
        <w:rPr>
          <w:rFonts w:cstheme="minorHAnsi"/>
          <w:sz w:val="16"/>
        </w:rPr>
        <w:t xml:space="preserve"> Ευρωπαϊκή Επιτροπή, </w:t>
      </w:r>
      <w:hyperlink r:id="rId44">
        <w:r>
          <w:rPr>
            <w:rStyle w:val="-"/>
            <w:rFonts w:cstheme="minorHAnsi"/>
            <w:sz w:val="16"/>
          </w:rPr>
          <w:t>Industrial emissions policy country profile – Greece</w:t>
        </w:r>
      </w:hyperlink>
      <w:r>
        <w:t xml:space="preserve"> </w:t>
      </w:r>
      <w:r>
        <w:rPr>
          <w:rFonts w:cstheme="minorHAnsi"/>
          <w:sz w:val="16"/>
        </w:rPr>
        <w:t>(Προφίλ πολιτικής βιομηχανικών εκπομπών ανά χώρα – Ελλάδα).</w:t>
      </w:r>
    </w:p>
  </w:footnote>
  <w:footnote w:id="56">
    <w:p w:rsidR="0034634B" w:rsidRDefault="0034634B" w:rsidP="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w:t>
      </w:r>
      <w:hyperlink r:id="rId45">
        <w:r>
          <w:rPr>
            <w:rStyle w:val="-"/>
            <w:rFonts w:asciiTheme="minorHAnsi" w:hAnsiTheme="minorHAnsi" w:cstheme="minorHAnsi"/>
            <w:sz w:val="16"/>
          </w:rPr>
          <w:t>Ευρωπαϊκή Επιτροπή, Industrial emissions policy country profile – Greece</w:t>
        </w:r>
      </w:hyperlink>
      <w:r>
        <w:t xml:space="preserve"> </w:t>
      </w:r>
      <w:r>
        <w:rPr>
          <w:rFonts w:asciiTheme="minorHAnsi" w:eastAsiaTheme="minorHAnsi" w:hAnsiTheme="minorHAnsi" w:cstheme="minorHAnsi"/>
          <w:sz w:val="16"/>
          <w:szCs w:val="22"/>
        </w:rPr>
        <w:t>(Προφίλ ανά χώρα για την πολιτική για τις βιομηχανικές εκπομπές – Ελλάδα).</w:t>
      </w:r>
    </w:p>
  </w:footnote>
  <w:footnote w:id="57">
    <w:p w:rsidR="0034634B" w:rsidRDefault="0034634B">
      <w:pPr>
        <w:pStyle w:val="ad"/>
        <w:jc w:val="left"/>
        <w:rPr>
          <w:rFonts w:asciiTheme="minorHAnsi" w:hAnsiTheme="minorHAnsi" w:cstheme="minorHAnsi"/>
          <w:color w:val="0000FF"/>
          <w:sz w:val="16"/>
          <w:szCs w:val="16"/>
          <w:u w:val="single"/>
        </w:rPr>
      </w:pPr>
      <w:r>
        <w:rPr>
          <w:rStyle w:val="-"/>
          <w:rFonts w:asciiTheme="minorHAnsi" w:hAnsiTheme="minorHAnsi" w:cstheme="minorHAnsi"/>
          <w:sz w:val="16"/>
          <w:vertAlign w:val="superscript"/>
        </w:rPr>
        <w:footnoteRef/>
      </w:r>
      <w:r>
        <w:rPr>
          <w:rStyle w:val="-"/>
          <w:rFonts w:asciiTheme="minorHAnsi" w:hAnsiTheme="minorHAnsi" w:cstheme="minorHAnsi"/>
          <w:sz w:val="16"/>
        </w:rPr>
        <w:t xml:space="preserve"> Το ευρωπαϊκό μητρώο έκλυσης και μεταφοράς ρύπων (EPRTR) είναι το πανευρωπαϊκό μητρώο που παρέχει βασικά περιβαλλοντικά δεδομένα από βιομηχανικές εγκαταστάσεις στην Ευρώπη. </w:t>
      </w:r>
    </w:p>
  </w:footnote>
  <w:footnote w:id="58">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w:t>
      </w:r>
      <w:hyperlink r:id="rId46">
        <w:r>
          <w:rPr>
            <w:rStyle w:val="-"/>
            <w:rFonts w:asciiTheme="minorHAnsi" w:hAnsiTheme="minorHAnsi" w:cstheme="minorHAnsi"/>
            <w:sz w:val="16"/>
          </w:rPr>
          <w:t>Οδηγία 2002/49/ΕΚ</w:t>
        </w:r>
      </w:hyperlink>
      <w:r>
        <w:rPr>
          <w:rFonts w:asciiTheme="minorHAnsi" w:hAnsiTheme="minorHAnsi" w:cstheme="minorHAnsi"/>
          <w:sz w:val="16"/>
        </w:rPr>
        <w:t>.</w:t>
      </w:r>
    </w:p>
  </w:footnote>
  <w:footnote w:id="59">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ΠΟΥ/JRC, 2011, Burden of disease from environmental noise (Η επιβάρυνση από τις ασθένειες που σχετίζονται με τον περιβαλλοντικό θόρυβο), Fritschi, L., Brown, A.L., Kim, R., Schwela, D., Kephalopoulos, S. (eds), </w:t>
      </w:r>
      <w:hyperlink r:id="rId47">
        <w:r>
          <w:rPr>
            <w:rStyle w:val="-"/>
            <w:rFonts w:asciiTheme="minorHAnsi" w:hAnsiTheme="minorHAnsi" w:cstheme="minorHAnsi"/>
            <w:sz w:val="16"/>
          </w:rPr>
          <w:t>Παγκόσμιος Οργανισμός Υγείας, Περιφερειακό Γραφείο Ευρώπης</w:t>
        </w:r>
      </w:hyperlink>
      <w:r>
        <w:rPr>
          <w:rStyle w:val="-"/>
          <w:rFonts w:asciiTheme="minorHAnsi" w:hAnsiTheme="minorHAnsi" w:cstheme="minorHAnsi"/>
          <w:sz w:val="16"/>
        </w:rPr>
        <w:t>,</w:t>
      </w:r>
      <w:r>
        <w:rPr>
          <w:rFonts w:asciiTheme="minorHAnsi" w:hAnsiTheme="minorHAnsi" w:cstheme="minorHAnsi"/>
          <w:sz w:val="16"/>
        </w:rPr>
        <w:t xml:space="preserve"> Κοπεγχάγη, Δανία.</w:t>
      </w:r>
    </w:p>
  </w:footnote>
  <w:footnote w:id="60">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Ευρωπαϊκός Οργανισμός Περιβάλλοντος, </w:t>
      </w:r>
      <w:hyperlink r:id="rId48">
        <w:r>
          <w:rPr>
            <w:rStyle w:val="-"/>
            <w:rFonts w:asciiTheme="minorHAnsi" w:eastAsiaTheme="minorEastAsia" w:hAnsiTheme="minorHAnsi" w:cstheme="minorHAnsi"/>
            <w:sz w:val="16"/>
          </w:rPr>
          <w:t>Noise Fact Sheets 2017</w:t>
        </w:r>
      </w:hyperlink>
      <w:r>
        <w:rPr>
          <w:rFonts w:asciiTheme="minorHAnsi" w:eastAsiaTheme="minorEastAsia" w:hAnsiTheme="minorHAnsi" w:cstheme="minorHAnsi"/>
          <w:sz w:val="16"/>
        </w:rPr>
        <w:t xml:space="preserve"> (Ενημερωτικά δελτία για τον θόρυβο 2017).</w:t>
      </w:r>
    </w:p>
  </w:footnote>
  <w:footnote w:id="61">
    <w:p w:rsidR="0034634B" w:rsidRDefault="0034634B">
      <w:pPr>
        <w:pStyle w:val="ad"/>
        <w:widowControl w:val="0"/>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vertAlign w:val="superscript"/>
        </w:rPr>
        <w:t xml:space="preserve"> </w:t>
      </w:r>
      <w:r>
        <w:rPr>
          <w:rFonts w:asciiTheme="minorHAnsi" w:eastAsiaTheme="minorEastAsia" w:hAnsiTheme="minorHAnsi" w:cstheme="minorHAnsi"/>
          <w:sz w:val="16"/>
        </w:rPr>
        <w:t xml:space="preserve">Σε αυτήν περιλαμβάνονται η </w:t>
      </w:r>
      <w:hyperlink r:id="rId49">
        <w:r>
          <w:rPr>
            <w:rStyle w:val="-"/>
            <w:rFonts w:asciiTheme="minorHAnsi" w:eastAsiaTheme="minorEastAsia" w:hAnsiTheme="minorHAnsi" w:cstheme="minorHAnsi"/>
            <w:sz w:val="16"/>
          </w:rPr>
          <w:t>οδηγία για τα ύδατα κολύμβησης (2006/7/ΕΚ)</w:t>
        </w:r>
      </w:hyperlink>
      <w:r>
        <w:rPr>
          <w:rStyle w:val="-"/>
          <w:rFonts w:asciiTheme="minorHAnsi" w:eastAsiaTheme="minorEastAsia" w:hAnsiTheme="minorHAnsi" w:cstheme="minorHAnsi"/>
          <w:sz w:val="16"/>
        </w:rPr>
        <w:t>,</w:t>
      </w:r>
      <w:r>
        <w:rPr>
          <w:rFonts w:asciiTheme="minorHAnsi" w:eastAsiaTheme="minorEastAsia" w:hAnsiTheme="minorHAnsi" w:cstheme="minorHAnsi"/>
          <w:sz w:val="16"/>
        </w:rPr>
        <w:t xml:space="preserve"> η </w:t>
      </w:r>
      <w:hyperlink r:id="rId50">
        <w:r>
          <w:rPr>
            <w:rStyle w:val="-"/>
            <w:rFonts w:asciiTheme="minorHAnsi" w:eastAsiaTheme="minorEastAsia" w:hAnsiTheme="minorHAnsi" w:cstheme="minorHAnsi"/>
            <w:sz w:val="16"/>
          </w:rPr>
          <w:t>οδηγία για την επεξεργασία των αστικών λυμάτων (91/271/ΕΟΚ)</w:t>
        </w:r>
      </w:hyperlink>
      <w:r>
        <w:rPr>
          <w:rFonts w:asciiTheme="minorHAnsi" w:eastAsiaTheme="minorEastAsia" w:hAnsiTheme="minorHAnsi" w:cstheme="minorHAnsi"/>
          <w:sz w:val="16"/>
        </w:rPr>
        <w:t xml:space="preserve"> (όσον αφορά τις απορρίψεις δημοτικών και ορισμένων βιομηχανικών λυμάτων), η </w:t>
      </w:r>
      <w:hyperlink r:id="rId51">
        <w:r>
          <w:rPr>
            <w:rStyle w:val="-"/>
            <w:rFonts w:asciiTheme="minorHAnsi" w:eastAsiaTheme="minorEastAsia" w:hAnsiTheme="minorHAnsi" w:cstheme="minorHAnsi"/>
            <w:sz w:val="16"/>
          </w:rPr>
          <w:t>οδηγία για το πόσιμο νερό (98/83/ΕΚ)</w:t>
        </w:r>
      </w:hyperlink>
      <w:r>
        <w:rPr>
          <w:rFonts w:asciiTheme="minorHAnsi" w:eastAsiaTheme="minorEastAsia" w:hAnsiTheme="minorHAnsi" w:cstheme="minorHAnsi"/>
          <w:sz w:val="16"/>
        </w:rPr>
        <w:t xml:space="preserve"> (όσον αφορά την ποιότητα του πόσιμου νερού), η </w:t>
      </w:r>
      <w:hyperlink r:id="rId52">
        <w:r>
          <w:rPr>
            <w:rStyle w:val="-"/>
            <w:rFonts w:asciiTheme="minorHAnsi" w:eastAsiaTheme="minorEastAsia" w:hAnsiTheme="minorHAnsi" w:cstheme="minorHAnsi"/>
            <w:sz w:val="16"/>
          </w:rPr>
          <w:t>οδηγία-πλαίσιο για τα ύδατα (2000/60/ΕΚ)</w:t>
        </w:r>
      </w:hyperlink>
      <w:r>
        <w:rPr>
          <w:rFonts w:asciiTheme="minorHAnsi" w:eastAsiaTheme="minorEastAsia" w:hAnsiTheme="minorHAnsi" w:cstheme="minorHAnsi"/>
          <w:sz w:val="16"/>
        </w:rPr>
        <w:t xml:space="preserve"> (όσον αφορά τη διαχείριση των υδάτινων πόρων), η </w:t>
      </w:r>
      <w:hyperlink r:id="rId53">
        <w:r>
          <w:rPr>
            <w:rStyle w:val="-"/>
            <w:rFonts w:asciiTheme="minorHAnsi" w:eastAsiaTheme="minorEastAsia" w:hAnsiTheme="minorHAnsi" w:cstheme="minorHAnsi"/>
            <w:sz w:val="16"/>
          </w:rPr>
          <w:t>οδηγία για τη νιτρορύπανση (91/676/ΕΟΚ)</w:t>
        </w:r>
      </w:hyperlink>
      <w:r>
        <w:rPr>
          <w:rFonts w:asciiTheme="minorHAnsi" w:eastAsiaTheme="minorEastAsia" w:hAnsiTheme="minorHAnsi" w:cstheme="minorHAnsi"/>
          <w:sz w:val="16"/>
        </w:rPr>
        <w:t xml:space="preserve"> και η </w:t>
      </w:r>
      <w:hyperlink r:id="rId54">
        <w:r>
          <w:rPr>
            <w:rStyle w:val="-"/>
            <w:rFonts w:asciiTheme="minorHAnsi" w:eastAsiaTheme="minorEastAsia" w:hAnsiTheme="minorHAnsi" w:cstheme="minorHAnsi"/>
            <w:sz w:val="16"/>
          </w:rPr>
          <w:t>οδηγία για τις πλημμύρες (2007/60/ΕΚ)</w:t>
        </w:r>
      </w:hyperlink>
      <w:r>
        <w:rPr>
          <w:rStyle w:val="-"/>
          <w:rFonts w:asciiTheme="minorHAnsi" w:eastAsiaTheme="minorEastAsia" w:hAnsiTheme="minorHAnsi" w:cstheme="minorHAnsi"/>
          <w:sz w:val="16"/>
        </w:rPr>
        <w:t>.</w:t>
      </w:r>
    </w:p>
  </w:footnote>
  <w:footnote w:id="62">
    <w:p w:rsidR="0034634B" w:rsidRDefault="0034634B">
      <w:pPr>
        <w:pStyle w:val="ad"/>
        <w:widowControl w:val="0"/>
        <w:jc w:val="left"/>
        <w:rPr>
          <w:rFonts w:asciiTheme="minorHAnsi" w:eastAsiaTheme="minorEastAsia" w:hAnsiTheme="minorHAnsi" w:cstheme="minorHAnsi"/>
          <w:sz w:val="16"/>
          <w:szCs w:val="16"/>
        </w:rPr>
      </w:pPr>
      <w:r>
        <w:rPr>
          <w:rStyle w:val="FootnoteCharacters"/>
          <w:rFonts w:asciiTheme="minorHAnsi" w:eastAsiaTheme="minorEastAsia" w:hAnsiTheme="minorHAnsi" w:cstheme="minorHAnsi"/>
          <w:sz w:val="16"/>
          <w:vertAlign w:val="superscript"/>
        </w:rPr>
        <w:footnoteRef/>
      </w:r>
      <w:r>
        <w:rPr>
          <w:rFonts w:asciiTheme="minorHAnsi" w:eastAsiaTheme="minorEastAsia" w:hAnsiTheme="minorHAnsi" w:cstheme="minorHAnsi"/>
          <w:sz w:val="16"/>
        </w:rPr>
        <w:t xml:space="preserve"> Ευρωπαϊκός Οργανισμός Περιβάλλοντος, 2017. </w:t>
      </w:r>
      <w:hyperlink r:id="rId55">
        <w:r>
          <w:rPr>
            <w:rStyle w:val="-"/>
            <w:rFonts w:asciiTheme="minorHAnsi" w:eastAsiaTheme="minorEastAsia" w:hAnsiTheme="minorHAnsi" w:cstheme="minorHAnsi"/>
            <w:sz w:val="16"/>
          </w:rPr>
          <w:t>European bathing water quality in 2016</w:t>
        </w:r>
      </w:hyperlink>
      <w:r>
        <w:t xml:space="preserve"> </w:t>
      </w:r>
      <w:r>
        <w:rPr>
          <w:rFonts w:asciiTheme="minorHAnsi" w:eastAsiaTheme="minorEastAsia" w:hAnsiTheme="minorHAnsi" w:cstheme="minorHAnsi"/>
          <w:sz w:val="16"/>
        </w:rPr>
        <w:t>(Ποιότητα των ευρωπαϊκών υδάτων κολύμβησης το 2016), σ. 17.</w:t>
      </w:r>
    </w:p>
  </w:footnote>
  <w:footnote w:id="63">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Υπουργείο Περιβάλλοντος και Ενέργειας, </w:t>
      </w:r>
      <w:hyperlink r:id="rId56">
        <w:r>
          <w:rPr>
            <w:rStyle w:val="-"/>
            <w:rFonts w:asciiTheme="minorHAnsi" w:hAnsiTheme="minorHAnsi" w:cstheme="minorHAnsi"/>
            <w:sz w:val="16"/>
          </w:rPr>
          <w:t>Ειδική Γραμματεία Υδάτων, Μητρώο ταυτοτήτων υδάτων κολύμβησης</w:t>
        </w:r>
      </w:hyperlink>
      <w:r>
        <w:t>.</w:t>
      </w:r>
      <w:r>
        <w:rPr>
          <w:rFonts w:asciiTheme="minorHAnsi" w:hAnsiTheme="minorHAnsi" w:cstheme="minorHAnsi"/>
          <w:sz w:val="16"/>
        </w:rPr>
        <w:t xml:space="preserve"> </w:t>
      </w:r>
    </w:p>
  </w:footnote>
  <w:footnote w:id="64">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Ευρωπαϊκός Οργανισμός Περιβάλλοντος, </w:t>
      </w:r>
      <w:hyperlink r:id="rId57">
        <w:r>
          <w:rPr>
            <w:rStyle w:val="-"/>
            <w:rFonts w:asciiTheme="minorHAnsi" w:hAnsiTheme="minorHAnsi" w:cstheme="minorHAnsi"/>
            <w:sz w:val="16"/>
          </w:rPr>
          <w:t>State of bathing waters</w:t>
        </w:r>
      </w:hyperlink>
      <w:r>
        <w:t xml:space="preserve"> </w:t>
      </w:r>
      <w:r>
        <w:rPr>
          <w:rFonts w:asciiTheme="minorHAnsi" w:hAnsiTheme="minorHAnsi" w:cstheme="minorHAnsi"/>
          <w:sz w:val="16"/>
        </w:rPr>
        <w:t xml:space="preserve">(Κατάσταση των υδάτων κολύμβησης). </w:t>
      </w:r>
    </w:p>
  </w:footnote>
  <w:footnote w:id="65">
    <w:p w:rsidR="0034634B" w:rsidRDefault="0034634B">
      <w:pPr>
        <w:pStyle w:val="ad"/>
        <w:widowControl w:val="0"/>
        <w:jc w:val="left"/>
        <w:rPr>
          <w:rFonts w:asciiTheme="minorHAnsi" w:eastAsiaTheme="minorEastAsia" w:hAnsiTheme="minorHAnsi" w:cstheme="minorHAnsi"/>
          <w:sz w:val="16"/>
          <w:szCs w:val="16"/>
        </w:rPr>
      </w:pPr>
      <w:r>
        <w:rPr>
          <w:rStyle w:val="FootnoteCharacters"/>
          <w:rFonts w:asciiTheme="minorHAnsi" w:eastAsiaTheme="minorEastAsia" w:hAnsiTheme="minorHAnsi" w:cstheme="minorHAnsi"/>
          <w:sz w:val="16"/>
          <w:vertAlign w:val="superscript"/>
        </w:rPr>
        <w:footnoteRef/>
      </w:r>
      <w:r>
        <w:rPr>
          <w:rFonts w:asciiTheme="minorHAnsi" w:eastAsiaTheme="minorEastAsia" w:hAnsiTheme="minorHAnsi" w:cstheme="minorHAnsi"/>
          <w:sz w:val="16"/>
        </w:rPr>
        <w:t xml:space="preserve"> Ευρωπαϊκός Οργανισμός Περιβάλλοντος, 2018. </w:t>
      </w:r>
      <w:hyperlink r:id="rId58">
        <w:r>
          <w:rPr>
            <w:rStyle w:val="-"/>
            <w:rFonts w:asciiTheme="minorHAnsi" w:eastAsiaTheme="minorEastAsia" w:hAnsiTheme="minorHAnsi" w:cstheme="minorHAnsi"/>
            <w:sz w:val="16"/>
          </w:rPr>
          <w:t>European bathing water quality in 2017</w:t>
        </w:r>
      </w:hyperlink>
      <w:r>
        <w:t xml:space="preserve"> </w:t>
      </w:r>
      <w:r>
        <w:rPr>
          <w:rFonts w:asciiTheme="minorHAnsi" w:eastAsiaTheme="minorEastAsia" w:hAnsiTheme="minorHAnsi" w:cstheme="minorHAnsi"/>
          <w:sz w:val="16"/>
        </w:rPr>
        <w:t>(Ποιότητα των ευρωπαϊκών υδάτων κολύμβησης το 2017), σ. 21.</w:t>
      </w:r>
    </w:p>
  </w:footnote>
  <w:footnote w:id="66">
    <w:p w:rsidR="0034634B" w:rsidRDefault="0034634B">
      <w:pPr>
        <w:pStyle w:val="ad"/>
        <w:widowControl w:val="0"/>
        <w:jc w:val="left"/>
        <w:rPr>
          <w:rFonts w:asciiTheme="minorHAnsi" w:eastAsiaTheme="minorEastAsia" w:hAnsiTheme="minorHAnsi" w:cstheme="minorHAnsi"/>
          <w:sz w:val="16"/>
          <w:szCs w:val="16"/>
        </w:rPr>
      </w:pPr>
      <w:r>
        <w:rPr>
          <w:rStyle w:val="FootnoteCharacters"/>
          <w:rFonts w:asciiTheme="minorHAnsi" w:eastAsiaTheme="minorEastAsia" w:hAnsiTheme="minorHAnsi" w:cstheme="minorHAnsi"/>
          <w:sz w:val="16"/>
          <w:vertAlign w:val="superscript"/>
        </w:rPr>
        <w:footnoteRef/>
      </w:r>
      <w:r>
        <w:rPr>
          <w:rFonts w:asciiTheme="minorHAnsi" w:eastAsiaTheme="minorEastAsia" w:hAnsiTheme="minorHAnsi" w:cstheme="minorHAnsi"/>
          <w:sz w:val="16"/>
        </w:rPr>
        <w:t xml:space="preserve"> Ευρωπαϊκή Επιτροπή, Ένατη έκθεση σχετικά με την κατάσταση της εφαρμογής και τα προγράμματα για την εφαρμογή της οδηγίας για την επεξεργασία των αστικών λυμάτων [</w:t>
      </w:r>
      <w:hyperlink r:id="rId59">
        <w:r>
          <w:rPr>
            <w:rStyle w:val="-"/>
            <w:rFonts w:asciiTheme="minorHAnsi" w:eastAsiaTheme="minorEastAsia" w:hAnsiTheme="minorHAnsi" w:cstheme="minorHAnsi"/>
            <w:sz w:val="16"/>
          </w:rPr>
          <w:t>COM(2017)749</w:t>
        </w:r>
      </w:hyperlink>
      <w:r>
        <w:rPr>
          <w:rFonts w:asciiTheme="minorHAnsi" w:eastAsiaTheme="minorEastAsia" w:hAnsiTheme="minorHAnsi" w:cstheme="minorHAnsi"/>
          <w:sz w:val="16"/>
        </w:rPr>
        <w:t>] και έγγραφο εργασίας των υπηρεσιών της Επιτροπής το οποίο συνοδεύει την έκθεση [</w:t>
      </w:r>
      <w:hyperlink r:id="rId60">
        <w:r>
          <w:rPr>
            <w:rStyle w:val="-"/>
            <w:rFonts w:asciiTheme="minorHAnsi" w:eastAsiaTheme="minorEastAsia" w:hAnsiTheme="minorHAnsi" w:cstheme="minorHAnsi"/>
            <w:sz w:val="16"/>
          </w:rPr>
          <w:t>SWD(2017)445</w:t>
        </w:r>
      </w:hyperlink>
      <w:r>
        <w:rPr>
          <w:rFonts w:asciiTheme="minorHAnsi" w:eastAsiaTheme="minorEastAsia" w:hAnsiTheme="minorHAnsi" w:cstheme="minorHAnsi"/>
          <w:sz w:val="16"/>
        </w:rPr>
        <w:t>].</w:t>
      </w:r>
    </w:p>
  </w:footnote>
  <w:footnote w:id="67">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Πρωτίστως για τα χημικά προϊόντα: </w:t>
      </w:r>
      <w:r>
        <w:rPr>
          <w:rFonts w:asciiTheme="minorHAnsi" w:hAnsiTheme="minorHAnsi" w:cstheme="minorHAnsi"/>
          <w:color w:val="000000"/>
          <w:sz w:val="16"/>
        </w:rPr>
        <w:t>REACH (ΕΕ L 396 της 30.12.2006, σ.1.)· για την ταξινόμηση, την επισήμανση και τη συσκευασία, κανονισμός CLP</w:t>
      </w:r>
      <w:r>
        <w:rPr>
          <w:rFonts w:asciiTheme="minorHAnsi" w:hAnsiTheme="minorHAnsi" w:cstheme="minorHAnsi"/>
          <w:sz w:val="16"/>
        </w:rPr>
        <w:t xml:space="preserve"> </w:t>
      </w:r>
      <w:r>
        <w:rPr>
          <w:rFonts w:asciiTheme="minorHAnsi" w:hAnsiTheme="minorHAnsi" w:cstheme="minorHAnsi"/>
          <w:color w:val="000000"/>
          <w:sz w:val="16"/>
        </w:rPr>
        <w:t>(ΕΕ L 252 της 31.12.2006, σ. 1), σε συνδυασμό με τη νομοθεσία για τα βιοκτόνα και για τα φυτοπροστατευτικά προϊόντα.</w:t>
      </w:r>
    </w:p>
  </w:footnote>
  <w:footnote w:id="68">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Ευρωπαϊκός Οργανισμός Χημικών Προϊόντων, </w:t>
      </w:r>
      <w:hyperlink r:id="rId61">
        <w:r>
          <w:rPr>
            <w:rStyle w:val="-"/>
            <w:rFonts w:asciiTheme="minorHAnsi" w:eastAsiaTheme="minorEastAsia" w:hAnsiTheme="minorHAnsi" w:cstheme="minorHAnsi"/>
            <w:sz w:val="16"/>
          </w:rPr>
          <w:t>Report on the Operation of REACH and CLP 2016</w:t>
        </w:r>
      </w:hyperlink>
      <w:r>
        <w:rPr>
          <w:rStyle w:val="-"/>
          <w:rFonts w:asciiTheme="minorHAnsi" w:eastAsiaTheme="minorEastAsia" w:hAnsiTheme="minorHAnsi" w:cstheme="minorHAnsi"/>
          <w:sz w:val="16"/>
        </w:rPr>
        <w:t xml:space="preserve"> </w:t>
      </w:r>
      <w:r>
        <w:rPr>
          <w:rFonts w:asciiTheme="minorHAnsi" w:eastAsiaTheme="minorEastAsia" w:hAnsiTheme="minorHAnsi" w:cstheme="minorHAnsi"/>
          <w:sz w:val="16"/>
        </w:rPr>
        <w:t>(Έκθεση του 2016 για τη λειτουργία του κανονισμού REACH και του κανονισμού CLP).</w:t>
      </w:r>
    </w:p>
  </w:footnote>
  <w:footnote w:id="69">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ECHA, με βάση τα έργα </w:t>
      </w:r>
      <w:hyperlink r:id="rId62">
        <w:r>
          <w:rPr>
            <w:rStyle w:val="-"/>
            <w:rFonts w:asciiTheme="minorHAnsi" w:eastAsiaTheme="minorEastAsia" w:hAnsiTheme="minorHAnsi" w:cstheme="minorHAnsi"/>
            <w:sz w:val="16"/>
          </w:rPr>
          <w:t>REF-1, REF-2 και REF-3</w:t>
        </w:r>
      </w:hyperlink>
      <w:r>
        <w:rPr>
          <w:rFonts w:asciiTheme="minorHAnsi" w:eastAsiaTheme="minorEastAsia" w:hAnsiTheme="minorHAnsi" w:cstheme="minorHAnsi"/>
          <w:sz w:val="16"/>
        </w:rPr>
        <w:t xml:space="preserve">. </w:t>
      </w:r>
    </w:p>
  </w:footnote>
  <w:footnote w:id="70">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Ευρωπαϊκή Επιτροπή. (2015). Monitoring the Impacts of REACH on Innovation, Competitiveness and SMEs (Παρακολούθηση των επιπτώσεων του κανονισμού REACH στην καινοτομία, την ανταγωνιστικότητα και τις ΜΜΕ). Βρυξέλλες: Ευρωπαϊκή Επιτροπή.</w:t>
      </w:r>
    </w:p>
  </w:footnote>
  <w:footnote w:id="71">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w:t>
      </w:r>
      <w:hyperlink r:id="rId63">
        <w:r>
          <w:rPr>
            <w:rStyle w:val="-"/>
            <w:rFonts w:asciiTheme="minorHAnsi" w:hAnsiTheme="minorHAnsi" w:cstheme="minorHAnsi"/>
            <w:sz w:val="16"/>
          </w:rPr>
          <w:t>COM(2018) 116</w:t>
        </w:r>
      </w:hyperlink>
      <w:r>
        <w:rPr>
          <w:rFonts w:asciiTheme="minorHAnsi" w:hAnsiTheme="minorHAnsi" w:cstheme="minorHAnsi"/>
          <w:sz w:val="16"/>
        </w:rPr>
        <w:t>.</w:t>
      </w:r>
    </w:p>
  </w:footnote>
  <w:footnote w:id="72">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ECHA, </w:t>
      </w:r>
      <w:hyperlink r:id="rId64">
        <w:r>
          <w:rPr>
            <w:rStyle w:val="-"/>
            <w:rFonts w:asciiTheme="minorHAnsi" w:hAnsiTheme="minorHAnsi" w:cstheme="minorHAnsi"/>
            <w:sz w:val="16"/>
          </w:rPr>
          <w:t>National Inspectorates – Greece</w:t>
        </w:r>
      </w:hyperlink>
      <w:r>
        <w:t xml:space="preserve"> </w:t>
      </w:r>
      <w:r>
        <w:rPr>
          <w:rFonts w:asciiTheme="minorHAnsi" w:hAnsiTheme="minorHAnsi" w:cstheme="minorHAnsi"/>
          <w:sz w:val="16"/>
        </w:rPr>
        <w:t xml:space="preserve">(Εθνικές υπηρεσίες επιθεώρησης – Ελλάδα) </w:t>
      </w:r>
    </w:p>
  </w:footnote>
  <w:footnote w:id="73">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Ευρωπαϊκή Επιτροπή, Eurostat, </w:t>
      </w:r>
      <w:hyperlink r:id="rId65">
        <w:r>
          <w:rPr>
            <w:rStyle w:val="-"/>
            <w:rFonts w:asciiTheme="minorHAnsi" w:hAnsiTheme="minorHAnsi" w:cstheme="minorHAnsi"/>
            <w:sz w:val="16"/>
          </w:rPr>
          <w:t>Urban Europe</w:t>
        </w:r>
      </w:hyperlink>
      <w:r>
        <w:rPr>
          <w:rFonts w:asciiTheme="minorHAnsi" w:hAnsiTheme="minorHAnsi" w:cstheme="minorHAnsi"/>
          <w:sz w:val="16"/>
        </w:rPr>
        <w:t xml:space="preserve"> (Αστική Ευρώπη), 2016, σ. 9.</w:t>
      </w:r>
    </w:p>
  </w:footnote>
  <w:footnote w:id="74">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Ευρωπαϊκή Επιτροπή, </w:t>
      </w:r>
      <w:hyperlink r:id="rId66">
        <w:r>
          <w:rPr>
            <w:rStyle w:val="-"/>
            <w:rFonts w:asciiTheme="minorHAnsi" w:hAnsiTheme="minorHAnsi" w:cstheme="minorHAnsi"/>
            <w:sz w:val="16"/>
          </w:rPr>
          <w:t>European Green Capital</w:t>
        </w:r>
      </w:hyperlink>
      <w:r>
        <w:t xml:space="preserve"> </w:t>
      </w:r>
      <w:r>
        <w:rPr>
          <w:rFonts w:asciiTheme="minorHAnsi" w:hAnsiTheme="minorHAnsi" w:cstheme="minorHAnsi"/>
          <w:sz w:val="16"/>
        </w:rPr>
        <w:t xml:space="preserve">(Πράσινη Πρωτεύουσα της Ευρώπης). </w:t>
      </w:r>
    </w:p>
  </w:footnote>
  <w:footnote w:id="75">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Ευρωπαϊκή Επιτροπή, </w:t>
      </w:r>
      <w:hyperlink r:id="rId67">
        <w:r>
          <w:rPr>
            <w:rStyle w:val="-"/>
            <w:rFonts w:asciiTheme="minorHAnsi" w:hAnsiTheme="minorHAnsi" w:cstheme="minorHAnsi"/>
            <w:sz w:val="16"/>
          </w:rPr>
          <w:t>European Green Leaf Award</w:t>
        </w:r>
      </w:hyperlink>
      <w:r>
        <w:t xml:space="preserve"> </w:t>
      </w:r>
      <w:r>
        <w:rPr>
          <w:rFonts w:asciiTheme="minorHAnsi" w:hAnsiTheme="minorHAnsi" w:cstheme="minorHAnsi"/>
          <w:sz w:val="16"/>
        </w:rPr>
        <w:t xml:space="preserve">(Βραβείο «Ευρωπαϊκό Πράσινο Φύλλο»). </w:t>
      </w:r>
    </w:p>
  </w:footnote>
  <w:footnote w:id="76">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Ευρωπαϊκή Επιτροπή, </w:t>
      </w:r>
      <w:hyperlink r:id="rId68">
        <w:r>
          <w:rPr>
            <w:rStyle w:val="-"/>
            <w:rFonts w:asciiTheme="minorHAnsi" w:hAnsiTheme="minorHAnsi" w:cstheme="minorHAnsi"/>
            <w:sz w:val="16"/>
          </w:rPr>
          <w:t>Εργαλείο Green City</w:t>
        </w:r>
      </w:hyperlink>
      <w:r>
        <w:rPr>
          <w:rFonts w:asciiTheme="minorHAnsi" w:hAnsiTheme="minorHAnsi" w:cstheme="minorHAnsi"/>
          <w:sz w:val="16"/>
        </w:rPr>
        <w:t xml:space="preserve">. </w:t>
      </w:r>
      <w:r>
        <w:tab/>
      </w:r>
      <w:r>
        <w:rPr>
          <w:rFonts w:asciiTheme="minorHAnsi" w:hAnsiTheme="minorHAnsi" w:cstheme="minorHAnsi"/>
          <w:sz w:val="16"/>
        </w:rPr>
        <w:t xml:space="preserve"> </w:t>
      </w:r>
    </w:p>
  </w:footnote>
  <w:footnote w:id="77">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Ελλάδα, Σύμφωνο Εταιρικής Σχέσης 2014-2020, 2014, σ. 171.</w:t>
      </w:r>
    </w:p>
  </w:footnote>
  <w:footnote w:id="78">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Ευρωπαϊκή Επιτροπή, </w:t>
      </w:r>
      <w:hyperlink r:id="rId69">
        <w:r>
          <w:rPr>
            <w:rStyle w:val="-"/>
            <w:rFonts w:asciiTheme="minorHAnsi" w:eastAsiaTheme="minorEastAsia" w:hAnsiTheme="minorHAnsi" w:cstheme="minorHAnsi"/>
            <w:sz w:val="16"/>
          </w:rPr>
          <w:t>The Urban Development Network</w:t>
        </w:r>
      </w:hyperlink>
      <w:r>
        <w:rPr>
          <w:rFonts w:asciiTheme="minorHAnsi" w:eastAsiaTheme="minorEastAsia" w:hAnsiTheme="minorHAnsi" w:cstheme="minorHAnsi"/>
          <w:sz w:val="16"/>
        </w:rPr>
        <w:t xml:space="preserve"> (Δίκτυο αστικής ανάπτυξης).</w:t>
      </w:r>
    </w:p>
  </w:footnote>
  <w:footnote w:id="79">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Ευρωπαϊκή Επιτροπή, </w:t>
      </w:r>
      <w:hyperlink r:id="rId70">
        <w:r>
          <w:rPr>
            <w:rStyle w:val="-"/>
            <w:rFonts w:asciiTheme="minorHAnsi" w:eastAsiaTheme="minorEastAsia" w:hAnsiTheme="minorHAnsi" w:cstheme="minorHAnsi"/>
            <w:sz w:val="16"/>
          </w:rPr>
          <w:t>Urban Innovative Actions</w:t>
        </w:r>
      </w:hyperlink>
      <w:r>
        <w:rPr>
          <w:rFonts w:asciiTheme="minorHAnsi" w:eastAsiaTheme="minorEastAsia" w:hAnsiTheme="minorHAnsi" w:cstheme="minorHAnsi"/>
          <w:sz w:val="16"/>
        </w:rPr>
        <w:t xml:space="preserve"> (Αστικές καινοτόμες δράσεις).</w:t>
      </w:r>
    </w:p>
  </w:footnote>
  <w:footnote w:id="80">
    <w:p w:rsidR="0034634B" w:rsidRDefault="0034634B">
      <w:pPr>
        <w:pStyle w:val="ad"/>
        <w:jc w:val="left"/>
        <w:rPr>
          <w:rFonts w:asciiTheme="minorHAnsi" w:eastAsiaTheme="minorEastAsia" w:hAnsiTheme="minorHAnsi" w:cstheme="minorHAnsi"/>
          <w:sz w:val="16"/>
          <w:szCs w:val="16"/>
          <w:lang w:val="en-GB"/>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lang w:val="en-GB"/>
        </w:rPr>
        <w:t xml:space="preserve"> URBACT, Associated Networks by country (</w:t>
      </w:r>
      <w:r>
        <w:rPr>
          <w:rFonts w:asciiTheme="minorHAnsi" w:eastAsiaTheme="minorEastAsia" w:hAnsiTheme="minorHAnsi" w:cstheme="minorHAnsi"/>
          <w:sz w:val="16"/>
        </w:rPr>
        <w:t>Συνδεδεμένα</w:t>
      </w:r>
      <w:r>
        <w:rPr>
          <w:rFonts w:asciiTheme="minorHAnsi" w:eastAsiaTheme="minorEastAsia" w:hAnsiTheme="minorHAnsi" w:cstheme="minorHAnsi"/>
          <w:sz w:val="16"/>
          <w:lang w:val="en-GB"/>
        </w:rPr>
        <w:t xml:space="preserve"> </w:t>
      </w:r>
      <w:r>
        <w:rPr>
          <w:rFonts w:asciiTheme="minorHAnsi" w:eastAsiaTheme="minorEastAsia" w:hAnsiTheme="minorHAnsi" w:cstheme="minorHAnsi"/>
          <w:sz w:val="16"/>
        </w:rPr>
        <w:t>δίκτυα</w:t>
      </w:r>
      <w:r>
        <w:rPr>
          <w:rFonts w:asciiTheme="minorHAnsi" w:eastAsiaTheme="minorEastAsia" w:hAnsiTheme="minorHAnsi" w:cstheme="minorHAnsi"/>
          <w:sz w:val="16"/>
          <w:lang w:val="en-GB"/>
        </w:rPr>
        <w:t xml:space="preserve"> </w:t>
      </w:r>
      <w:r>
        <w:rPr>
          <w:rFonts w:asciiTheme="minorHAnsi" w:eastAsiaTheme="minorEastAsia" w:hAnsiTheme="minorHAnsi" w:cstheme="minorHAnsi"/>
          <w:sz w:val="16"/>
        </w:rPr>
        <w:t>ανά</w:t>
      </w:r>
      <w:r>
        <w:rPr>
          <w:rFonts w:asciiTheme="minorHAnsi" w:eastAsiaTheme="minorEastAsia" w:hAnsiTheme="minorHAnsi" w:cstheme="minorHAnsi"/>
          <w:sz w:val="16"/>
          <w:lang w:val="en-GB"/>
        </w:rPr>
        <w:t xml:space="preserve"> </w:t>
      </w:r>
      <w:r>
        <w:rPr>
          <w:rFonts w:asciiTheme="minorHAnsi" w:eastAsiaTheme="minorEastAsia" w:hAnsiTheme="minorHAnsi" w:cstheme="minorHAnsi"/>
          <w:sz w:val="16"/>
        </w:rPr>
        <w:t>χώρα</w:t>
      </w:r>
      <w:r>
        <w:rPr>
          <w:rFonts w:asciiTheme="minorHAnsi" w:eastAsiaTheme="minorEastAsia" w:hAnsiTheme="minorHAnsi" w:cstheme="minorHAnsi"/>
          <w:sz w:val="16"/>
          <w:lang w:val="en-GB"/>
        </w:rPr>
        <w:t>).</w:t>
      </w:r>
    </w:p>
  </w:footnote>
  <w:footnote w:id="81">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Ευρωπαϊκή Επιτροπή, Ορίζων 2020, Έργο Civitas.</w:t>
      </w:r>
    </w:p>
  </w:footnote>
  <w:footnote w:id="82">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hyperlink r:id="rId71">
        <w:r>
          <w:rPr>
            <w:rStyle w:val="-"/>
            <w:rFonts w:asciiTheme="minorHAnsi" w:eastAsiaTheme="minorEastAsia" w:hAnsiTheme="minorHAnsi" w:cstheme="minorHAnsi"/>
            <w:sz w:val="16"/>
          </w:rPr>
          <w:t>Σύμφωνο των Δημάρχων για το Κλίμα και την Ενέργεια</w:t>
        </w:r>
      </w:hyperlink>
      <w:r>
        <w:rPr>
          <w:rFonts w:asciiTheme="minorHAnsi" w:eastAsiaTheme="minorEastAsia" w:hAnsiTheme="minorHAnsi" w:cstheme="minorHAnsi"/>
          <w:sz w:val="16"/>
        </w:rPr>
        <w:t xml:space="preserve">. </w:t>
      </w:r>
    </w:p>
  </w:footnote>
  <w:footnote w:id="83">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Σύμφωνο των Δημάρχων για το Κλίμα και την Ενέργεια, </w:t>
      </w:r>
      <w:hyperlink r:id="rId72">
        <w:r>
          <w:rPr>
            <w:rStyle w:val="-"/>
            <w:rFonts w:asciiTheme="minorHAnsi" w:eastAsiaTheme="minorEastAsia" w:hAnsiTheme="minorHAnsi" w:cstheme="minorHAnsi"/>
            <w:sz w:val="16"/>
          </w:rPr>
          <w:t>Κοινότητα του Συμφώνου</w:t>
        </w:r>
      </w:hyperlink>
      <w:r>
        <w:rPr>
          <w:rFonts w:asciiTheme="minorHAnsi" w:eastAsiaTheme="minorEastAsia" w:hAnsiTheme="minorHAnsi" w:cstheme="minorHAnsi"/>
          <w:sz w:val="16"/>
        </w:rPr>
        <w:t xml:space="preserve">. </w:t>
      </w:r>
    </w:p>
  </w:footnote>
  <w:footnote w:id="84">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Ευρωπαϊκή Επιτροπή</w:t>
      </w:r>
      <w:r>
        <w:rPr>
          <w:rFonts w:asciiTheme="minorHAnsi" w:hAnsiTheme="minorHAnsi" w:cstheme="minorHAnsi"/>
          <w:color w:val="000000" w:themeColor="text1"/>
          <w:sz w:val="16"/>
        </w:rPr>
        <w:t xml:space="preserve">, Eurostat, </w:t>
      </w:r>
      <w:hyperlink r:id="rId73">
        <w:r>
          <w:rPr>
            <w:rStyle w:val="-"/>
            <w:rFonts w:asciiTheme="minorHAnsi" w:hAnsiTheme="minorHAnsi" w:cstheme="minorHAnsi"/>
            <w:sz w:val="16"/>
          </w:rPr>
          <w:t>Pollution, grime or other environmental problems by degree of urbanisation</w:t>
        </w:r>
      </w:hyperlink>
      <w:r>
        <w:rPr>
          <w:rFonts w:asciiTheme="minorHAnsi" w:eastAsiaTheme="minorEastAsia" w:hAnsiTheme="minorHAnsi" w:cstheme="minorHAnsi"/>
          <w:sz w:val="16"/>
        </w:rPr>
        <w:t xml:space="preserve"> (Ρύπανση, συσσωματωμένοι ρύποι ή άλλα περιβαλλοντικά προβλήματα ανά βαθμό αστικοποίησης).</w:t>
      </w:r>
    </w:p>
  </w:footnote>
  <w:footnote w:id="85">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Ευρωπαϊκή Επιτροπή, </w:t>
      </w:r>
      <w:hyperlink r:id="rId74" w:anchor="ua11-14">
        <w:r>
          <w:rPr>
            <w:rStyle w:val="-"/>
            <w:rFonts w:asciiTheme="minorHAnsi" w:hAnsiTheme="minorHAnsi" w:cstheme="minorHAnsi"/>
            <w:sz w:val="16"/>
          </w:rPr>
          <w:t>Ορισμός των «Functional Urban Areas»</w:t>
        </w:r>
      </w:hyperlink>
      <w:r>
        <w:rPr>
          <w:rStyle w:val="-"/>
          <w:rFonts w:asciiTheme="minorHAnsi" w:hAnsiTheme="minorHAnsi" w:cstheme="minorHAnsi"/>
          <w:sz w:val="16"/>
        </w:rPr>
        <w:t xml:space="preserve"> </w:t>
      </w:r>
      <w:r>
        <w:t>(</w:t>
      </w:r>
      <w:r>
        <w:rPr>
          <w:rFonts w:asciiTheme="minorHAnsi" w:hAnsiTheme="minorHAnsi" w:cstheme="minorHAnsi"/>
          <w:sz w:val="16"/>
        </w:rPr>
        <w:t>λειτουργικές αστικές περιοχές).</w:t>
      </w:r>
    </w:p>
  </w:footnote>
  <w:footnote w:id="86">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Biodiversity information System for Europe (Σύστημα πληροφοριών για τη βιοποικιλότητα στην Ευρώπη), </w:t>
      </w:r>
      <w:hyperlink r:id="rId75">
        <w:r>
          <w:rPr>
            <w:rStyle w:val="-"/>
            <w:rFonts w:asciiTheme="minorHAnsi" w:hAnsiTheme="minorHAnsi" w:cstheme="minorHAnsi"/>
            <w:sz w:val="16"/>
          </w:rPr>
          <w:t>Προφίλ χώρας – Ελλάδα)</w:t>
        </w:r>
      </w:hyperlink>
      <w:r>
        <w:t>.</w:t>
      </w:r>
      <w:r>
        <w:rPr>
          <w:rFonts w:asciiTheme="minorHAnsi" w:hAnsiTheme="minorHAnsi" w:cstheme="minorHAnsi"/>
          <w:sz w:val="16"/>
        </w:rPr>
        <w:t xml:space="preserve"> </w:t>
      </w:r>
    </w:p>
  </w:footnote>
  <w:footnote w:id="87">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Οι μονάδες αστικής διάχυσης (Urban Permeation Units – UPU) μετρούν το μέγεθος της δομημένης περιοχής, καθώς και τον βαθμό διασποράς της σε ολόκληρη την περιοχή.</w:t>
      </w:r>
    </w:p>
  </w:footnote>
  <w:footnote w:id="88">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ΕΟΠ, </w:t>
      </w:r>
      <w:hyperlink r:id="rId76">
        <w:r>
          <w:rPr>
            <w:rStyle w:val="-"/>
            <w:rFonts w:asciiTheme="minorHAnsi" w:eastAsiaTheme="minorEastAsia" w:hAnsiTheme="minorHAnsi" w:cstheme="minorHAnsi"/>
            <w:sz w:val="16"/>
          </w:rPr>
          <w:t>Urban Sprawl in Europe, Annex I</w:t>
        </w:r>
      </w:hyperlink>
      <w:r>
        <w:rPr>
          <w:rFonts w:asciiTheme="minorHAnsi" w:eastAsiaTheme="minorEastAsia" w:hAnsiTheme="minorHAnsi" w:cstheme="minorHAnsi"/>
          <w:sz w:val="16"/>
        </w:rPr>
        <w:t xml:space="preserve"> (Άτακτη αστική εξάπλωση στην Ευρώπη, Παράρτημα I), 2016, σ. 4-5.</w:t>
      </w:r>
    </w:p>
  </w:footnote>
  <w:footnote w:id="89">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Eurostat, </w:t>
      </w:r>
      <w:hyperlink r:id="rId77">
        <w:r>
          <w:rPr>
            <w:rStyle w:val="-"/>
            <w:rFonts w:asciiTheme="minorHAnsi" w:hAnsiTheme="minorHAnsi" w:cstheme="minorHAnsi"/>
            <w:sz w:val="16"/>
          </w:rPr>
          <w:t>Passenger cars per 1 000 inhabitants</w:t>
        </w:r>
      </w:hyperlink>
      <w:r>
        <w:rPr>
          <w:rFonts w:asciiTheme="minorHAnsi" w:hAnsiTheme="minorHAnsi" w:cstheme="minorHAnsi"/>
          <w:sz w:val="16"/>
        </w:rPr>
        <w:t xml:space="preserve"> (Επιβατικά αυτοκίνητα ανά 1 000 κατοίκους), 2018.</w:t>
      </w:r>
    </w:p>
  </w:footnote>
  <w:footnote w:id="90">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Ευρωπαϊκή Επιτροπή, </w:t>
      </w:r>
      <w:hyperlink r:id="rId78" w:anchor="2016">
        <w:r>
          <w:rPr>
            <w:rStyle w:val="-"/>
            <w:rFonts w:asciiTheme="minorHAnsi" w:eastAsiaTheme="minorEastAsia" w:hAnsiTheme="minorHAnsi" w:cstheme="minorHAnsi"/>
            <w:sz w:val="16"/>
          </w:rPr>
          <w:t>Hours spent in road congestion annually</w:t>
        </w:r>
      </w:hyperlink>
      <w:r>
        <w:rPr>
          <w:rFonts w:asciiTheme="minorHAnsi" w:eastAsiaTheme="minorEastAsia" w:hAnsiTheme="minorHAnsi" w:cstheme="minorHAnsi"/>
          <w:sz w:val="16"/>
        </w:rPr>
        <w:t xml:space="preserve"> (Ώρες που δαπανώνται ετησίως σε κυκλοφοριακή συμφόρηση). </w:t>
      </w:r>
    </w:p>
  </w:footnote>
  <w:footnote w:id="91">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TOMTOM, </w:t>
      </w:r>
      <w:hyperlink r:id="rId79">
        <w:r>
          <w:rPr>
            <w:rStyle w:val="-"/>
            <w:rFonts w:asciiTheme="minorHAnsi" w:eastAsiaTheme="minorEastAsia" w:hAnsiTheme="minorHAnsi" w:cstheme="minorHAnsi"/>
            <w:sz w:val="16"/>
          </w:rPr>
          <w:t>TOMTOM Traffic Index</w:t>
        </w:r>
      </w:hyperlink>
      <w:r>
        <w:rPr>
          <w:rFonts w:asciiTheme="minorHAnsi" w:eastAsiaTheme="minorEastAsia" w:hAnsiTheme="minorHAnsi" w:cstheme="minorHAnsi"/>
          <w:sz w:val="16"/>
        </w:rPr>
        <w:t xml:space="preserve"> (Δείκτης κυκλοφοριακής συμφόρησης TOMTOM).</w:t>
      </w:r>
    </w:p>
  </w:footnote>
  <w:footnote w:id="92">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Η σχέση μεταξύ μέσου μεταφοράς και διανυθέντων χιλιομέτρων (με εξαίρεση τα ποδήλατα και άλλες εναλλακτικές μεθόδους).</w:t>
      </w:r>
    </w:p>
  </w:footnote>
  <w:footnote w:id="93">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Eurostat, </w:t>
      </w:r>
      <w:hyperlink r:id="rId80" w:anchor="True">
        <w:r>
          <w:rPr>
            <w:rStyle w:val="-"/>
            <w:rFonts w:asciiTheme="minorHAnsi" w:eastAsiaTheme="minorEastAsia" w:hAnsiTheme="minorHAnsi" w:cstheme="minorHAnsi"/>
            <w:sz w:val="16"/>
          </w:rPr>
          <w:t>Στατιστικές μεταφορών επιβατών ανά τρόπο μεταφοράς</w:t>
        </w:r>
      </w:hyperlink>
      <w:r>
        <w:rPr>
          <w:rFonts w:asciiTheme="minorHAnsi" w:eastAsiaTheme="minorEastAsia" w:hAnsiTheme="minorHAnsi" w:cstheme="minorHAnsi"/>
          <w:sz w:val="16"/>
        </w:rPr>
        <w:t>.</w:t>
      </w:r>
    </w:p>
  </w:footnote>
  <w:footnote w:id="94">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Ευρωπαϊκό Κοινοβούλιο, </w:t>
      </w:r>
      <w:hyperlink r:id="rId81">
        <w:r>
          <w:rPr>
            <w:rStyle w:val="-"/>
            <w:rFonts w:asciiTheme="minorHAnsi" w:hAnsiTheme="minorHAnsi" w:cstheme="minorHAnsi"/>
            <w:sz w:val="16"/>
          </w:rPr>
          <w:t>Traffic and Tourism in Greece</w:t>
        </w:r>
      </w:hyperlink>
      <w:r>
        <w:rPr>
          <w:rFonts w:asciiTheme="minorHAnsi" w:hAnsiTheme="minorHAnsi" w:cstheme="minorHAnsi"/>
          <w:sz w:val="16"/>
        </w:rPr>
        <w:t xml:space="preserve"> (Κυκλοφορία και τουρισμός στην Ελλάδα), 2018, σ. 1-9. </w:t>
      </w:r>
    </w:p>
  </w:footnote>
  <w:footnote w:id="95">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Εθνική Τράπεζα της Ελλάδος, </w:t>
      </w:r>
      <w:hyperlink r:id="rId82">
        <w:r>
          <w:rPr>
            <w:rStyle w:val="-"/>
            <w:rFonts w:asciiTheme="minorHAnsi" w:hAnsiTheme="minorHAnsi" w:cstheme="minorHAnsi"/>
            <w:sz w:val="16"/>
          </w:rPr>
          <w:t>Μικρομεσαίες Επιχειρήσεις: Έρευνα Συγκυρίας – Ειδικό Θέμα: Logistics - Χερσαίες υπηρεσίες</w:t>
        </w:r>
      </w:hyperlink>
      <w:r>
        <w:rPr>
          <w:rFonts w:asciiTheme="minorHAnsi" w:hAnsiTheme="minorHAnsi" w:cstheme="minorHAnsi"/>
          <w:sz w:val="16"/>
        </w:rPr>
        <w:t>, Φεβ. 2017, σ. 9.</w:t>
      </w:r>
    </w:p>
  </w:footnote>
  <w:footnote w:id="96">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Υπουργείο Υποδομών και Μεταφορών, </w:t>
      </w:r>
      <w:hyperlink r:id="rId83">
        <w:r>
          <w:rPr>
            <w:rStyle w:val="-"/>
            <w:rFonts w:asciiTheme="minorHAnsi" w:hAnsiTheme="minorHAnsi" w:cstheme="minorHAnsi"/>
            <w:sz w:val="16"/>
          </w:rPr>
          <w:t>ITS Progress Report for Greece</w:t>
        </w:r>
      </w:hyperlink>
      <w:r>
        <w:rPr>
          <w:rFonts w:asciiTheme="minorHAnsi" w:hAnsiTheme="minorHAnsi" w:cstheme="minorHAnsi"/>
          <w:sz w:val="16"/>
        </w:rPr>
        <w:t xml:space="preserve"> (Έκθεση προόδου για τα ITS στην Ελλάδα), 2017.</w:t>
      </w:r>
    </w:p>
  </w:footnote>
  <w:footnote w:id="97">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Δήμος Θεσσαλονίκης, </w:t>
      </w:r>
      <w:hyperlink r:id="rId84">
        <w:r>
          <w:rPr>
            <w:rStyle w:val="-"/>
            <w:rFonts w:asciiTheme="minorHAnsi" w:hAnsiTheme="minorHAnsi" w:cstheme="minorHAnsi"/>
            <w:sz w:val="16"/>
          </w:rPr>
          <w:t>Κέντρο Αστικής Κινητικότητας Θεσσαλονίκης</w:t>
        </w:r>
      </w:hyperlink>
      <w:r>
        <w:rPr>
          <w:rFonts w:asciiTheme="minorHAnsi" w:hAnsiTheme="minorHAnsi" w:cstheme="minorHAnsi"/>
          <w:sz w:val="16"/>
        </w:rPr>
        <w:t>.</w:t>
      </w:r>
    </w:p>
  </w:footnote>
  <w:footnote w:id="98">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Eurostat, </w:t>
      </w:r>
      <w:hyperlink r:id="rId85">
        <w:r>
          <w:rPr>
            <w:rStyle w:val="-"/>
            <w:rFonts w:asciiTheme="minorHAnsi" w:eastAsiaTheme="minorEastAsia" w:hAnsiTheme="minorHAnsi" w:cstheme="minorHAnsi"/>
            <w:sz w:val="16"/>
          </w:rPr>
          <w:t>Environmental tax revenues</w:t>
        </w:r>
      </w:hyperlink>
      <w:r>
        <w:rPr>
          <w:rStyle w:val="-"/>
          <w:rFonts w:asciiTheme="minorHAnsi" w:eastAsiaTheme="minorEastAsia" w:hAnsiTheme="minorHAnsi" w:cstheme="minorHAnsi"/>
          <w:sz w:val="16"/>
        </w:rPr>
        <w:t xml:space="preserve"> </w:t>
      </w:r>
      <w:r>
        <w:rPr>
          <w:rFonts w:asciiTheme="minorHAnsi" w:eastAsiaTheme="minorEastAsia" w:hAnsiTheme="minorHAnsi" w:cstheme="minorHAnsi"/>
          <w:sz w:val="16"/>
        </w:rPr>
        <w:t>(Έσοδα από περιβαλλοντικούς φόρους), 2018.</w:t>
      </w:r>
    </w:p>
  </w:footnote>
  <w:footnote w:id="99">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Ευρωπαϊκή Επιτροπή, </w:t>
      </w:r>
      <w:hyperlink r:id="rId86">
        <w:r>
          <w:rPr>
            <w:rStyle w:val="-"/>
            <w:rFonts w:asciiTheme="minorHAnsi" w:eastAsiaTheme="minorEastAsia" w:hAnsiTheme="minorHAnsi" w:cstheme="minorHAnsi"/>
            <w:sz w:val="16"/>
          </w:rPr>
          <w:t>Taxation Trends Report</w:t>
        </w:r>
      </w:hyperlink>
      <w:r>
        <w:rPr>
          <w:rFonts w:asciiTheme="minorHAnsi" w:eastAsiaTheme="minorEastAsia" w:hAnsiTheme="minorHAnsi" w:cstheme="minorHAnsi"/>
          <w:sz w:val="16"/>
        </w:rPr>
        <w:t xml:space="preserve"> (Έκθεση για τις φορολογικές τάσεις), 2017.</w:t>
      </w:r>
    </w:p>
  </w:footnote>
  <w:footnote w:id="100">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Ινστιτούτο ευρωπαϊκής πολιτικής περιβάλλοντος, Μελέτες περιπτώσεων σχετικά με την περιβαλλοντική φορολογική μεταρρύθμιση, </w:t>
      </w:r>
      <w:hyperlink r:id="rId87">
        <w:r>
          <w:rPr>
            <w:rStyle w:val="-"/>
            <w:rFonts w:asciiTheme="minorHAnsi" w:eastAsiaTheme="minorEastAsia" w:hAnsiTheme="minorHAnsi" w:cstheme="minorHAnsi"/>
            <w:sz w:val="16"/>
          </w:rPr>
          <w:t>Landfill tax in Greece</w:t>
        </w:r>
      </w:hyperlink>
      <w:r>
        <w:t xml:space="preserve"> </w:t>
      </w:r>
      <w:r>
        <w:rPr>
          <w:rFonts w:asciiTheme="minorHAnsi" w:eastAsiaTheme="minorEastAsia" w:hAnsiTheme="minorHAnsi" w:cstheme="minorHAnsi"/>
          <w:sz w:val="16"/>
        </w:rPr>
        <w:t>(Φόρος υγειονομικής ταφής στην Ελλάδα).</w:t>
      </w:r>
    </w:p>
  </w:footnote>
  <w:footnote w:id="101">
    <w:p w:rsidR="0034634B" w:rsidRDefault="0034634B">
      <w:pPr>
        <w:pStyle w:val="ad"/>
        <w:jc w:val="left"/>
        <w:rPr>
          <w:rFonts w:asciiTheme="minorHAnsi" w:eastAsiaTheme="minorEastAsia" w:hAnsiTheme="minorHAnsi" w:cstheme="minorHAnsi"/>
          <w:sz w:val="16"/>
          <w:szCs w:val="16"/>
        </w:rPr>
      </w:pPr>
      <w:r>
        <w:rPr>
          <w:rFonts w:asciiTheme="minorHAnsi" w:eastAsiaTheme="minorEastAsia" w:hAnsiTheme="minorHAnsi" w:cstheme="minorHAnsi"/>
          <w:sz w:val="16"/>
          <w:vertAlign w:val="superscript"/>
        </w:rPr>
        <w:footnoteRef/>
      </w:r>
      <w:r>
        <w:rPr>
          <w:rFonts w:asciiTheme="minorHAnsi" w:eastAsiaTheme="minorEastAsia" w:hAnsiTheme="minorHAnsi" w:cstheme="minorHAnsi"/>
          <w:sz w:val="16"/>
          <w:vertAlign w:val="superscript"/>
        </w:rPr>
        <w:t xml:space="preserve"> </w:t>
      </w:r>
      <w:r>
        <w:rPr>
          <w:rFonts w:asciiTheme="minorHAnsi" w:eastAsiaTheme="minorEastAsia" w:hAnsiTheme="minorHAnsi" w:cstheme="minorHAnsi"/>
          <w:sz w:val="16"/>
        </w:rPr>
        <w:t xml:space="preserve">ΟΟΣΑ, </w:t>
      </w:r>
      <w:hyperlink r:id="rId88">
        <w:r>
          <w:rPr>
            <w:rStyle w:val="-"/>
            <w:rFonts w:asciiTheme="minorHAnsi" w:eastAsiaTheme="minorEastAsia" w:hAnsiTheme="minorHAnsi" w:cstheme="minorHAnsi"/>
            <w:sz w:val="16"/>
          </w:rPr>
          <w:t>Inventory of Support Measures for Fossil Fuels</w:t>
        </w:r>
      </w:hyperlink>
      <w:r>
        <w:rPr>
          <w:rStyle w:val="-"/>
          <w:rFonts w:asciiTheme="minorHAnsi" w:eastAsiaTheme="minorEastAsia" w:hAnsiTheme="minorHAnsi" w:cstheme="minorHAnsi"/>
          <w:sz w:val="16"/>
        </w:rPr>
        <w:t xml:space="preserve"> </w:t>
      </w:r>
      <w:r>
        <w:rPr>
          <w:rFonts w:asciiTheme="minorHAnsi" w:eastAsiaTheme="minorEastAsia" w:hAnsiTheme="minorHAnsi" w:cstheme="minorHAnsi"/>
          <w:sz w:val="16"/>
        </w:rPr>
        <w:t>(Καταγραφή μέτρων στήριξης για ορυκτά καύσιμα), 2018.</w:t>
      </w:r>
    </w:p>
  </w:footnote>
  <w:footnote w:id="102">
    <w:p w:rsidR="0034634B" w:rsidRDefault="0034634B">
      <w:pPr>
        <w:pStyle w:val="ad"/>
        <w:widowControl w:val="0"/>
        <w:jc w:val="left"/>
        <w:rPr>
          <w:rFonts w:asciiTheme="minorHAnsi" w:eastAsiaTheme="minorEastAsia" w:hAnsiTheme="minorHAnsi" w:cstheme="minorHAnsi"/>
          <w:sz w:val="16"/>
          <w:szCs w:val="16"/>
        </w:rPr>
      </w:pPr>
      <w:r>
        <w:rPr>
          <w:rStyle w:val="FootnoteCharacters"/>
          <w:rFonts w:asciiTheme="minorHAnsi" w:eastAsiaTheme="minorEastAsia" w:hAnsiTheme="minorHAnsi" w:cstheme="minorHAnsi"/>
          <w:sz w:val="16"/>
          <w:vertAlign w:val="superscript"/>
        </w:rPr>
        <w:footnoteRef/>
      </w:r>
      <w:r>
        <w:rPr>
          <w:rFonts w:asciiTheme="minorHAnsi" w:eastAsiaTheme="minorEastAsia" w:hAnsiTheme="minorHAnsi" w:cstheme="minorHAnsi"/>
          <w:sz w:val="16"/>
        </w:rPr>
        <w:t xml:space="preserve"> Eurostat, </w:t>
      </w:r>
      <w:hyperlink r:id="rId89">
        <w:r>
          <w:rPr>
            <w:rStyle w:val="-"/>
            <w:rFonts w:asciiTheme="minorHAnsi" w:eastAsiaTheme="minorEastAsia" w:hAnsiTheme="minorHAnsi" w:cstheme="minorHAnsi"/>
            <w:sz w:val="16"/>
          </w:rPr>
          <w:t>Environmental tax revenues</w:t>
        </w:r>
      </w:hyperlink>
      <w:r>
        <w:rPr>
          <w:rStyle w:val="-"/>
          <w:rFonts w:asciiTheme="minorHAnsi" w:eastAsiaTheme="minorEastAsia" w:hAnsiTheme="minorHAnsi" w:cstheme="minorHAnsi"/>
          <w:sz w:val="16"/>
        </w:rPr>
        <w:t xml:space="preserve"> (Έσοδα από περιβαλλοντικούς φόρους), 2018.</w:t>
      </w:r>
    </w:p>
  </w:footnote>
  <w:footnote w:id="103">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vertAlign w:val="superscript"/>
        </w:rPr>
        <w:t xml:space="preserve"> </w:t>
      </w:r>
      <w:r>
        <w:rPr>
          <w:rFonts w:asciiTheme="minorHAnsi" w:eastAsiaTheme="minorEastAsia" w:hAnsiTheme="minorHAnsi" w:cstheme="minorHAnsi"/>
          <w:sz w:val="16"/>
        </w:rPr>
        <w:t xml:space="preserve">Ευρωπαϊκός Οργανισμός Περιβάλλοντος 2016, </w:t>
      </w:r>
      <w:hyperlink r:id="rId90">
        <w:r>
          <w:rPr>
            <w:rStyle w:val="-"/>
            <w:rFonts w:asciiTheme="minorHAnsi" w:eastAsiaTheme="minorEastAsia" w:hAnsiTheme="minorHAnsi" w:cstheme="minorHAnsi"/>
            <w:sz w:val="16"/>
          </w:rPr>
          <w:t>Environmental taxation and EU environmental policies</w:t>
        </w:r>
      </w:hyperlink>
      <w:r>
        <w:rPr>
          <w:rFonts w:asciiTheme="minorHAnsi" w:eastAsiaTheme="minorEastAsia" w:hAnsiTheme="minorHAnsi" w:cstheme="minorHAnsi"/>
          <w:sz w:val="16"/>
        </w:rPr>
        <w:t xml:space="preserve"> (Περιβαλλοντική φορολογία και πολιτικές της ΕΕ για το περιβάλλον), σ. 27.</w:t>
      </w:r>
    </w:p>
  </w:footnote>
  <w:footnote w:id="104">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Ευρωπαϊκή Επιτροπή, </w:t>
      </w:r>
      <w:hyperlink r:id="rId91">
        <w:r>
          <w:rPr>
            <w:rStyle w:val="-"/>
            <w:rFonts w:asciiTheme="minorHAnsi" w:eastAsiaTheme="minorEastAsia" w:hAnsiTheme="minorHAnsi" w:cstheme="minorHAnsi"/>
            <w:sz w:val="16"/>
          </w:rPr>
          <w:t>Taxes in Europe Database</w:t>
        </w:r>
      </w:hyperlink>
      <w:r>
        <w:rPr>
          <w:rFonts w:asciiTheme="minorHAnsi" w:eastAsiaTheme="minorEastAsia" w:hAnsiTheme="minorHAnsi" w:cstheme="minorHAnsi"/>
          <w:sz w:val="16"/>
        </w:rPr>
        <w:t xml:space="preserve"> (Βάση δεδομένων για τους φόρους στην Ευρώπη), 2018.</w:t>
      </w:r>
    </w:p>
  </w:footnote>
  <w:footnote w:id="105">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Ευρωπαϊκή Επιτροπή, </w:t>
      </w:r>
      <w:hyperlink r:id="rId92">
        <w:r>
          <w:rPr>
            <w:rStyle w:val="-"/>
            <w:rFonts w:asciiTheme="minorHAnsi" w:eastAsiaTheme="minorEastAsia" w:hAnsiTheme="minorHAnsi" w:cstheme="minorHAnsi"/>
            <w:sz w:val="16"/>
          </w:rPr>
          <w:t>Taxation of commercial cars in Belgium</w:t>
        </w:r>
      </w:hyperlink>
      <w:r>
        <w:rPr>
          <w:rFonts w:asciiTheme="minorHAnsi" w:eastAsiaTheme="minorEastAsia" w:hAnsiTheme="minorHAnsi" w:cstheme="minorHAnsi"/>
          <w:sz w:val="16"/>
        </w:rPr>
        <w:t xml:space="preserve"> (Φορολόγηση επαγγελματικών αυτοκινήτων στο Βέλγιο), 2017, σ. 3.</w:t>
      </w:r>
    </w:p>
  </w:footnote>
  <w:footnote w:id="106">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FleetEurope, </w:t>
      </w:r>
      <w:hyperlink r:id="rId93">
        <w:r>
          <w:rPr>
            <w:rStyle w:val="-"/>
            <w:rFonts w:asciiTheme="minorHAnsi" w:eastAsiaTheme="minorEastAsia" w:hAnsiTheme="minorHAnsi" w:cstheme="minorHAnsi"/>
            <w:sz w:val="16"/>
          </w:rPr>
          <w:t>Major changes to company car taxation in Europe</w:t>
        </w:r>
      </w:hyperlink>
      <w:r>
        <w:rPr>
          <w:rFonts w:asciiTheme="minorHAnsi" w:eastAsiaTheme="minorEastAsia" w:hAnsiTheme="minorHAnsi" w:cstheme="minorHAnsi"/>
          <w:sz w:val="16"/>
        </w:rPr>
        <w:t xml:space="preserve"> (Μείζονες αλλαγές στη φορολόγηση των επαγγελματικών αυτοκινήτων στην Ευρώπη).</w:t>
      </w:r>
    </w:p>
  </w:footnote>
  <w:footnote w:id="107">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ACEA, </w:t>
      </w:r>
      <w:hyperlink r:id="rId94">
        <w:r>
          <w:rPr>
            <w:rStyle w:val="-"/>
            <w:rFonts w:asciiTheme="minorHAnsi" w:eastAsiaTheme="minorEastAsia" w:hAnsiTheme="minorHAnsi" w:cstheme="minorHAnsi"/>
            <w:sz w:val="16"/>
          </w:rPr>
          <w:t>CO</w:t>
        </w:r>
        <w:r>
          <w:rPr>
            <w:rStyle w:val="-"/>
            <w:rFonts w:asciiTheme="minorHAnsi" w:eastAsiaTheme="minorEastAsia" w:hAnsiTheme="minorHAnsi" w:cstheme="minorHAnsi"/>
            <w:sz w:val="16"/>
            <w:vertAlign w:val="subscript"/>
          </w:rPr>
          <w:t>2</w:t>
        </w:r>
        <w:r>
          <w:rPr>
            <w:rStyle w:val="-"/>
            <w:rFonts w:asciiTheme="minorHAnsi" w:eastAsiaTheme="minorEastAsia" w:hAnsiTheme="minorHAnsi" w:cstheme="minorHAnsi"/>
            <w:sz w:val="16"/>
          </w:rPr>
          <w:t xml:space="preserve"> based motor vehicle taxes in Europe</w:t>
        </w:r>
      </w:hyperlink>
      <w:r>
        <w:rPr>
          <w:rFonts w:asciiTheme="minorHAnsi" w:eastAsiaTheme="minorEastAsia" w:hAnsiTheme="minorHAnsi" w:cstheme="minorHAnsi"/>
          <w:sz w:val="16"/>
        </w:rPr>
        <w:t xml:space="preserve"> (Φόροι επί μηχανοκίνητων οχημάτων στην Ευρώπη που βασίζονται στο CO</w:t>
      </w:r>
      <w:r>
        <w:rPr>
          <w:rStyle w:val="-"/>
          <w:rFonts w:asciiTheme="minorHAnsi" w:eastAsiaTheme="minorEastAsia" w:hAnsiTheme="minorHAnsi" w:cstheme="minorHAnsi"/>
          <w:sz w:val="16"/>
          <w:vertAlign w:val="subscript"/>
        </w:rPr>
        <w:t>2</w:t>
      </w:r>
      <w:r>
        <w:rPr>
          <w:rFonts w:asciiTheme="minorHAnsi" w:eastAsiaTheme="minorEastAsia" w:hAnsiTheme="minorHAnsi" w:cstheme="minorHAnsi"/>
          <w:sz w:val="16"/>
        </w:rPr>
        <w:t>).</w:t>
      </w:r>
    </w:p>
  </w:footnote>
  <w:footnote w:id="108">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Ευρωπαϊκός Οργανισμός Περιβάλλοντος, </w:t>
      </w:r>
      <w:hyperlink r:id="rId95">
        <w:r>
          <w:rPr>
            <w:rStyle w:val="-"/>
            <w:rFonts w:asciiTheme="minorHAnsi" w:eastAsiaTheme="minorEastAsia" w:hAnsiTheme="minorHAnsi" w:cstheme="minorHAnsi"/>
            <w:sz w:val="16"/>
          </w:rPr>
          <w:t>Appropriate taxes and incentives do affect purchases of new cars</w:t>
        </w:r>
      </w:hyperlink>
      <w:r>
        <w:rPr>
          <w:rFonts w:asciiTheme="minorHAnsi" w:eastAsiaTheme="minorEastAsia" w:hAnsiTheme="minorHAnsi" w:cstheme="minorHAnsi"/>
          <w:sz w:val="16"/>
        </w:rPr>
        <w:t xml:space="preserve"> (Οι κατάλληλοι φόροι και κίνητρα επηρεάζουν όντως την αγορά καινούριων αυτοκινήτων), 18 Μαΐου 2018.</w:t>
      </w:r>
    </w:p>
  </w:footnote>
  <w:footnote w:id="109">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Ευρωπαϊκός Οργανισμός Περιβάλλοντος, </w:t>
      </w:r>
      <w:hyperlink r:id="rId96">
        <w:r>
          <w:rPr>
            <w:rStyle w:val="-"/>
            <w:rFonts w:asciiTheme="minorHAnsi" w:eastAsiaTheme="minorEastAsia" w:hAnsiTheme="minorHAnsi" w:cstheme="minorHAnsi"/>
            <w:sz w:val="16"/>
          </w:rPr>
          <w:t>Average CO2 emissions from new passenger cars sold in EU-28 Member States plus Norway, Iceland and Switzerland in 2016</w:t>
        </w:r>
      </w:hyperlink>
      <w:r>
        <w:rPr>
          <w:rFonts w:asciiTheme="minorHAnsi" w:eastAsiaTheme="minorEastAsia" w:hAnsiTheme="minorHAnsi" w:cstheme="minorHAnsi"/>
          <w:sz w:val="16"/>
        </w:rPr>
        <w:t xml:space="preserve"> (Μέσες εκπομπές CO2 από καινούρια επιβατικά αυτοκίνητα που πωλήθηκαν στα κράτη μέλη της ΕΕ των 28 και στη Νορβηγία, την Ισλανδία και την Ελβετία το 2016).</w:t>
      </w:r>
    </w:p>
  </w:footnote>
  <w:footnote w:id="110">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Ευρωπαϊκή Επιτροπή, </w:t>
      </w:r>
      <w:hyperlink r:id="rId97">
        <w:r>
          <w:rPr>
            <w:rStyle w:val="-"/>
            <w:rFonts w:asciiTheme="minorHAnsi" w:eastAsiaTheme="minorEastAsia" w:hAnsiTheme="minorHAnsi" w:cstheme="minorHAnsi"/>
            <w:sz w:val="16"/>
          </w:rPr>
          <w:t>Transport in the European Union Current Trends and Issues</w:t>
        </w:r>
      </w:hyperlink>
      <w:r>
        <w:rPr>
          <w:rFonts w:asciiTheme="minorHAnsi" w:eastAsiaTheme="minorEastAsia" w:hAnsiTheme="minorHAnsi" w:cstheme="minorHAnsi"/>
          <w:sz w:val="16"/>
        </w:rPr>
        <w:t xml:space="preserve"> (Οι μεταφορές στην Ευρωπαϊκή Ένωση – Τάσεις και ζητήματα), 2018, σ. 27-28.</w:t>
      </w:r>
    </w:p>
  </w:footnote>
  <w:footnote w:id="111">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Στην ανακοίνωση «Οι δημόσιες συμβάσεις στην υπηρεσία του περιβάλλοντος» </w:t>
      </w:r>
      <w:hyperlink r:id="rId98">
        <w:r>
          <w:rPr>
            <w:rStyle w:val="-"/>
            <w:rFonts w:asciiTheme="minorHAnsi" w:hAnsiTheme="minorHAnsi" w:cstheme="minorHAnsi"/>
            <w:sz w:val="16"/>
          </w:rPr>
          <w:t>[COM(2008) 400]</w:t>
        </w:r>
      </w:hyperlink>
      <w:r>
        <w:rPr>
          <w:rFonts w:asciiTheme="minorHAnsi" w:hAnsiTheme="minorHAnsi" w:cstheme="minorHAnsi"/>
          <w:sz w:val="16"/>
        </w:rPr>
        <w:t xml:space="preserve"> η Επιτροπή πρότεινε τη δημιουργία μιας διαδικασίας θέσπισης κοινών κριτηρίων για τις ΠΔΣ. Η βασική αντίληψη που διαπνέει τις ΠΔΣ παραπέμπει στην ύπαρξη σαφών, επαληθεύσιμων, αιτιολογημένων και φιλόδοξων περιβαλλοντικών κριτηρίων για τα προϊόντα και τις υπηρεσίες, τα οποία στηρίζονται σε προσέγγιση με βάση τον κύκλο ζωής και επιστημονικά τεκμηριωμένη βάση.</w:t>
      </w:r>
    </w:p>
  </w:footnote>
  <w:footnote w:id="112">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Ευρωπαϊκό Κοινοβούλιο, </w:t>
      </w:r>
      <w:hyperlink r:id="rId99">
        <w:r>
          <w:rPr>
            <w:rStyle w:val="-"/>
            <w:rFonts w:asciiTheme="minorHAnsi" w:eastAsiaTheme="minorEastAsia" w:hAnsiTheme="minorHAnsi" w:cstheme="minorHAnsi"/>
            <w:sz w:val="16"/>
          </w:rPr>
          <w:t>Green Public Procurement and the Action Plan for the Circular Economy</w:t>
        </w:r>
      </w:hyperlink>
      <w:r>
        <w:t xml:space="preserve"> </w:t>
      </w:r>
      <w:r>
        <w:rPr>
          <w:rFonts w:asciiTheme="minorHAnsi" w:hAnsiTheme="minorHAnsi" w:cstheme="minorHAnsi"/>
          <w:sz w:val="16"/>
        </w:rPr>
        <w:t>(Πράσινες δημόσιες συμβάσεις και το σχέδιο δράσης για την κυκλική οικονομία),</w:t>
      </w:r>
      <w:r>
        <w:rPr>
          <w:rFonts w:asciiTheme="minorHAnsi" w:eastAsiaTheme="minorEastAsia" w:hAnsiTheme="minorHAnsi" w:cstheme="minorHAnsi"/>
          <w:sz w:val="16"/>
        </w:rPr>
        <w:t xml:space="preserve"> 2017, σ. 79-80.</w:t>
      </w:r>
    </w:p>
  </w:footnote>
  <w:footnote w:id="113">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Ευρωπαϊκή Επιτροπή, </w:t>
      </w:r>
      <w:hyperlink r:id="rId100">
        <w:r>
          <w:rPr>
            <w:rStyle w:val="-"/>
            <w:rFonts w:asciiTheme="minorHAnsi" w:hAnsiTheme="minorHAnsi" w:cstheme="minorHAnsi"/>
            <w:sz w:val="16"/>
          </w:rPr>
          <w:t>Collection of Good Practices on GPP</w:t>
        </w:r>
      </w:hyperlink>
      <w:r>
        <w:rPr>
          <w:rFonts w:asciiTheme="minorHAnsi" w:hAnsiTheme="minorHAnsi" w:cstheme="minorHAnsi"/>
          <w:sz w:val="16"/>
        </w:rPr>
        <w:t xml:space="preserve"> (Συλλογή ορθών πρακτικών σχετικά με τις ΠΔΣ), 2012-2017.</w:t>
      </w:r>
    </w:p>
  </w:footnote>
  <w:footnote w:id="114">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Βλέπε, για παράδειγμα, </w:t>
      </w:r>
      <w:r>
        <w:rPr>
          <w:rStyle w:val="-"/>
          <w:rFonts w:asciiTheme="minorHAnsi" w:hAnsiTheme="minorHAnsi" w:cstheme="minorHAnsi"/>
          <w:noProof/>
          <w:sz w:val="16"/>
        </w:rPr>
        <w:t>Σχέδιο Δράσης για τη χρηματοδότηση της αειφόρου ανάπτυξης (</w:t>
      </w:r>
      <w:hyperlink r:id="rId101">
        <w:r>
          <w:rPr>
            <w:rStyle w:val="-"/>
            <w:rFonts w:asciiTheme="minorHAnsi" w:hAnsiTheme="minorHAnsi" w:cstheme="minorHAnsi"/>
            <w:sz w:val="16"/>
          </w:rPr>
          <w:t>COM(2018) 97</w:t>
        </w:r>
      </w:hyperlink>
      <w:r>
        <w:rPr>
          <w:rFonts w:asciiTheme="minorHAnsi" w:hAnsiTheme="minorHAnsi" w:cstheme="minorHAnsi"/>
          <w:noProof/>
          <w:sz w:val="16"/>
        </w:rPr>
        <w:t xml:space="preserve">). </w:t>
      </w:r>
    </w:p>
  </w:footnote>
  <w:footnote w:id="115">
    <w:p w:rsidR="0034634B" w:rsidRDefault="0034634B">
      <w:pPr>
        <w:pStyle w:val="ad"/>
        <w:jc w:val="left"/>
        <w:rPr>
          <w:rFonts w:asciiTheme="minorHAnsi" w:eastAsiaTheme="minorEastAsia" w:hAnsiTheme="minorHAnsi" w:cstheme="minorHAnsi"/>
          <w:sz w:val="16"/>
          <w:szCs w:val="16"/>
        </w:rPr>
      </w:pPr>
      <w:r>
        <w:rPr>
          <w:rStyle w:val="FootnoteCharacters"/>
          <w:rFonts w:asciiTheme="minorHAnsi" w:eastAsiaTheme="minorEastAsia" w:hAnsiTheme="minorHAnsi" w:cstheme="minorHAnsi"/>
          <w:sz w:val="16"/>
          <w:vertAlign w:val="superscript"/>
        </w:rPr>
        <w:footnoteRef/>
      </w:r>
      <w:r>
        <w:rPr>
          <w:rFonts w:asciiTheme="minorHAnsi" w:eastAsiaTheme="minorEastAsia" w:hAnsiTheme="minorHAnsi" w:cstheme="minorHAnsi"/>
          <w:sz w:val="16"/>
          <w:vertAlign w:val="superscript"/>
        </w:rPr>
        <w:t xml:space="preserve"> </w:t>
      </w:r>
      <w:r>
        <w:rPr>
          <w:rFonts w:asciiTheme="minorHAnsi" w:eastAsiaTheme="minorEastAsia" w:hAnsiTheme="minorHAnsi" w:cstheme="minorHAnsi"/>
          <w:sz w:val="16"/>
        </w:rPr>
        <w:t>Ήτοι, το Ευρωπαϊκό Ταμείο Περιφερειακής Ανάπτυξης (ΕΤΠΑ), το Ταμείο Συνοχής (ΤΣ), το Ευρωπαϊκό Κοινωνικό Ταμείο (ΕΚΤ), το Ευρωπαϊκό Γεωργικό Ταμείο Αγροτικής Ανάπτυξης (ΕΓΤΑΑ) και το Ευρωπαϊκό Ταμείο Θάλασσας και Αλιείας (ΕΤΘΑ). Το ΕΤΠΑ, το ΤΣ και το ΕΚΤ αναφέρονται ως «ταμεία για την πολιτική συνοχής».</w:t>
      </w:r>
    </w:p>
  </w:footnote>
  <w:footnote w:id="116">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Ευρωπαϊκή Επιτροπή, </w:t>
      </w:r>
      <w:hyperlink r:id="rId102">
        <w:r>
          <w:rPr>
            <w:rStyle w:val="-"/>
            <w:rFonts w:asciiTheme="minorHAnsi" w:hAnsiTheme="minorHAnsi" w:cstheme="minorHAnsi"/>
            <w:sz w:val="16"/>
          </w:rPr>
          <w:t>Πρόγραμμα LIFE</w:t>
        </w:r>
      </w:hyperlink>
      <w:r>
        <w:rPr>
          <w:rStyle w:val="-"/>
          <w:rFonts w:asciiTheme="minorHAnsi" w:hAnsiTheme="minorHAnsi" w:cstheme="minorHAnsi"/>
          <w:sz w:val="16"/>
        </w:rPr>
        <w:t>.</w:t>
      </w:r>
    </w:p>
  </w:footnote>
  <w:footnote w:id="117">
    <w:p w:rsidR="0034634B" w:rsidRDefault="0034634B">
      <w:pPr>
        <w:pStyle w:val="ad"/>
        <w:widowControl w:val="0"/>
        <w:jc w:val="left"/>
        <w:rPr>
          <w:rFonts w:asciiTheme="minorHAnsi" w:eastAsiaTheme="minorEastAsia" w:hAnsiTheme="minorHAnsi" w:cstheme="minorHAnsi"/>
          <w:sz w:val="16"/>
          <w:szCs w:val="16"/>
        </w:rPr>
      </w:pPr>
      <w:r>
        <w:rPr>
          <w:rStyle w:val="FootnoteCharacters"/>
          <w:rFonts w:asciiTheme="minorHAnsi" w:eastAsiaTheme="minorEastAsia" w:hAnsiTheme="minorHAnsi" w:cstheme="minorHAnsi"/>
          <w:sz w:val="16"/>
          <w:vertAlign w:val="superscript"/>
        </w:rPr>
        <w:footnoteRef/>
      </w:r>
      <w:r>
        <w:rPr>
          <w:rFonts w:asciiTheme="minorHAnsi" w:eastAsiaTheme="minorEastAsia" w:hAnsiTheme="minorHAnsi" w:cstheme="minorHAnsi"/>
          <w:sz w:val="16"/>
          <w:vertAlign w:val="superscript"/>
        </w:rPr>
        <w:t xml:space="preserve"> </w:t>
      </w:r>
      <w:r>
        <w:rPr>
          <w:rFonts w:asciiTheme="minorHAnsi" w:eastAsiaTheme="minorEastAsia" w:hAnsiTheme="minorHAnsi" w:cstheme="minorHAnsi"/>
          <w:sz w:val="16"/>
        </w:rPr>
        <w:t xml:space="preserve">Ευρωπαϊκή Τράπεζα Επενδύσεων, </w:t>
      </w:r>
      <w:hyperlink r:id="rId103">
        <w:r>
          <w:rPr>
            <w:rStyle w:val="-"/>
            <w:rFonts w:asciiTheme="minorHAnsi" w:eastAsiaTheme="minorEastAsia" w:hAnsiTheme="minorHAnsi" w:cstheme="minorHAnsi"/>
            <w:sz w:val="16"/>
          </w:rPr>
          <w:t>Ευρωπαϊκό Ταμείο Στρατηγικών Επενδύσεων</w:t>
        </w:r>
      </w:hyperlink>
      <w:r>
        <w:rPr>
          <w:rStyle w:val="-"/>
          <w:rFonts w:asciiTheme="minorHAnsi" w:eastAsiaTheme="minorEastAsia" w:hAnsiTheme="minorHAnsi" w:cstheme="minorHAnsi"/>
          <w:sz w:val="16"/>
        </w:rPr>
        <w:t>, 2016.</w:t>
      </w:r>
    </w:p>
  </w:footnote>
  <w:footnote w:id="118">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Ευρωπαϊκή Επιτροπή, </w:t>
      </w:r>
      <w:hyperlink r:id="rId104">
        <w:r>
          <w:rPr>
            <w:rStyle w:val="-"/>
            <w:rFonts w:asciiTheme="minorHAnsi" w:eastAsiaTheme="minorEastAsia" w:hAnsiTheme="minorHAnsi" w:cstheme="minorHAnsi"/>
            <w:sz w:val="16"/>
          </w:rPr>
          <w:t>European Structural and Investment Funds Data By Country</w:t>
        </w:r>
      </w:hyperlink>
      <w:r>
        <w:t xml:space="preserve"> </w:t>
      </w:r>
      <w:r>
        <w:rPr>
          <w:rFonts w:asciiTheme="minorHAnsi" w:eastAsiaTheme="minorEastAsia" w:hAnsiTheme="minorHAnsi" w:cstheme="minorHAnsi"/>
          <w:sz w:val="16"/>
        </w:rPr>
        <w:t>(Δεδομένα Ευρωπαϊκών Διαρθρωτικών και Επενδυτικών Ταμείων ανά χώρα).</w:t>
      </w:r>
    </w:p>
  </w:footnote>
  <w:footnote w:id="119">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«Οι στόχοι των ΕΔΕΤ επιδιώκονται στο πλαίσιο της βιώσιμης ανάπτυξης και της προώθησης από την Ένωση του στόχου της διαφύλαξης, της προστασίας και της βελτίωσης του περιβάλλοντος, όπως ορίζεται στο άρθρο 11 και στο άρθρο 191 παράγραφος 1 ΣΛΕΕ, λαμβάνοντας υπόψη την αρχή “ο ρυπαίνων πληρώνει”», άρθρο 8 του </w:t>
      </w:r>
      <w:hyperlink r:id="rId105">
        <w:r>
          <w:rPr>
            <w:rStyle w:val="-"/>
            <w:rFonts w:asciiTheme="minorHAnsi" w:eastAsiaTheme="minorEastAsia" w:hAnsiTheme="minorHAnsi" w:cstheme="minorHAnsi"/>
            <w:sz w:val="16"/>
          </w:rPr>
          <w:t>κανονισμού (ΕΕ) αριθ. 1303/2013</w:t>
        </w:r>
      </w:hyperlink>
      <w:r>
        <w:rPr>
          <w:rFonts w:asciiTheme="minorHAnsi" w:eastAsiaTheme="minorEastAsia" w:hAnsiTheme="minorHAnsi" w:cstheme="minorHAnsi"/>
          <w:sz w:val="16"/>
        </w:rPr>
        <w:t>.</w:t>
      </w:r>
    </w:p>
  </w:footnote>
  <w:footnote w:id="120">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Ευρωπαϊκή Επιτροπή, </w:t>
      </w:r>
      <w:hyperlink r:id="rId106">
        <w:r>
          <w:rPr>
            <w:rStyle w:val="-"/>
            <w:rFonts w:asciiTheme="minorHAnsi" w:hAnsiTheme="minorHAnsi" w:cstheme="minorHAnsi"/>
            <w:sz w:val="16"/>
          </w:rPr>
          <w:t>Σύμφωνο Εταιρικής Σχέσης – Ελλάδα – 2014-2020</w:t>
        </w:r>
      </w:hyperlink>
      <w:r>
        <w:t>.</w:t>
      </w:r>
      <w:r>
        <w:rPr>
          <w:rStyle w:val="-"/>
          <w:rFonts w:asciiTheme="minorHAnsi" w:hAnsiTheme="minorHAnsi" w:cstheme="minorHAnsi"/>
          <w:sz w:val="16"/>
        </w:rPr>
        <w:t xml:space="preserve"> </w:t>
      </w:r>
    </w:p>
  </w:footnote>
  <w:footnote w:id="121">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color w:val="0000FF"/>
          <w:sz w:val="16"/>
          <w:u w:val="single"/>
        </w:rPr>
        <w:t xml:space="preserve">Ευρωπαϊκή Επιτροπή, </w:t>
      </w:r>
      <w:hyperlink r:id="rId107">
        <w:r>
          <w:rPr>
            <w:rStyle w:val="-"/>
            <w:rFonts w:asciiTheme="minorHAnsi" w:hAnsiTheme="minorHAnsi" w:cstheme="minorHAnsi"/>
            <w:sz w:val="16"/>
          </w:rPr>
          <w:t>Σύμφωνο Εταιρικής Σχέσης – Ελλάδα – 2014-2020</w:t>
        </w:r>
      </w:hyperlink>
      <w:r>
        <w:t>.</w:t>
      </w:r>
    </w:p>
  </w:footnote>
  <w:footnote w:id="122">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w:t>
      </w:r>
      <w:hyperlink r:id="rId108">
        <w:r>
          <w:rPr>
            <w:rStyle w:val="-"/>
            <w:rFonts w:asciiTheme="minorHAnsi" w:hAnsiTheme="minorHAnsi" w:cstheme="minorHAnsi"/>
            <w:sz w:val="16"/>
          </w:rPr>
          <w:t>COM(2017) 0554</w:t>
        </w:r>
      </w:hyperlink>
      <w:r>
        <w:rPr>
          <w:rFonts w:asciiTheme="minorHAnsi" w:hAnsiTheme="minorHAnsi" w:cstheme="minorHAnsi"/>
          <w:sz w:val="16"/>
        </w:rPr>
        <w:t>.</w:t>
      </w:r>
    </w:p>
  </w:footnote>
  <w:footnote w:id="123">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Ευρωπαϊκή Επιτροπή, </w:t>
      </w:r>
      <w:hyperlink r:id="rId109">
        <w:r>
          <w:rPr>
            <w:rStyle w:val="-"/>
            <w:rFonts w:asciiTheme="minorHAnsi" w:hAnsiTheme="minorHAnsi" w:cstheme="minorHAnsi"/>
            <w:sz w:val="16"/>
          </w:rPr>
          <w:t>Rural development 2014-2020: Country files: Greece</w:t>
        </w:r>
        <w:r>
          <w:rPr>
            <w:rFonts w:asciiTheme="minorHAnsi" w:hAnsiTheme="minorHAnsi" w:cstheme="minorHAnsi"/>
            <w:sz w:val="16"/>
          </w:rPr>
          <w:t xml:space="preserve"> (Αγροτική ανάπτυξη 2014-2020: Δελτία χωρών: Ελλάδα).</w:t>
        </w:r>
      </w:hyperlink>
      <w:r>
        <w:rPr>
          <w:rFonts w:asciiTheme="minorHAnsi" w:hAnsiTheme="minorHAnsi" w:cstheme="minorHAnsi"/>
          <w:sz w:val="16"/>
        </w:rPr>
        <w:t xml:space="preserve"> </w:t>
      </w:r>
    </w:p>
  </w:footnote>
  <w:footnote w:id="124">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Ευρωπαϊκή Επιτροπή, </w:t>
      </w:r>
      <w:hyperlink r:id="rId110">
        <w:r>
          <w:rPr>
            <w:rStyle w:val="-"/>
            <w:rFonts w:asciiTheme="minorHAnsi" w:eastAsiaTheme="minorEastAsia" w:hAnsiTheme="minorHAnsi" w:cstheme="minorHAnsi"/>
            <w:sz w:val="16"/>
          </w:rPr>
          <w:t>Η ΚΓΠ στην Ελλάδα</w:t>
        </w:r>
      </w:hyperlink>
      <w:r>
        <w:rPr>
          <w:rFonts w:asciiTheme="minorHAnsi" w:eastAsiaTheme="minorEastAsia" w:hAnsiTheme="minorHAnsi" w:cstheme="minorHAnsi"/>
          <w:sz w:val="16"/>
        </w:rPr>
        <w:t>, 2017.</w:t>
      </w:r>
    </w:p>
  </w:footnote>
  <w:footnote w:id="125">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Ευρωπαϊκή Επιτροπή, </w:t>
      </w:r>
      <w:hyperlink r:id="rId111">
        <w:r>
          <w:rPr>
            <w:rStyle w:val="-"/>
            <w:rFonts w:asciiTheme="minorHAnsi" w:hAnsiTheme="minorHAnsi" w:cstheme="minorHAnsi"/>
            <w:sz w:val="16"/>
          </w:rPr>
          <w:t>Ευρωπαϊκό Ταμείο Θάλασσας και Αλιείας, Δελτία χωρών</w:t>
        </w:r>
      </w:hyperlink>
      <w:r>
        <w:t>.</w:t>
      </w:r>
    </w:p>
  </w:footnote>
  <w:footnote w:id="126">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Ευρωπαϊκή Επιτροπή, </w:t>
      </w:r>
      <w:hyperlink r:id="rId112">
        <w:r>
          <w:rPr>
            <w:rStyle w:val="-"/>
            <w:rFonts w:asciiTheme="minorHAnsi" w:eastAsiaTheme="minorEastAsia" w:hAnsiTheme="minorHAnsi" w:cstheme="minorHAnsi"/>
            <w:sz w:val="16"/>
          </w:rPr>
          <w:t>The Connecting Europe Facility, ‘SuperGreen’ action</w:t>
        </w:r>
      </w:hyperlink>
      <w:r>
        <w:rPr>
          <w:rFonts w:asciiTheme="minorHAnsi" w:eastAsiaTheme="minorEastAsia" w:hAnsiTheme="minorHAnsi" w:cstheme="minorHAnsi"/>
          <w:sz w:val="16"/>
        </w:rPr>
        <w:t xml:space="preserve"> (Μηχανισμός «Συνδέοντας την Ευρώπη», Δράση «SuperGreen»). </w:t>
      </w:r>
    </w:p>
  </w:footnote>
  <w:footnote w:id="127">
    <w:p w:rsidR="0034634B" w:rsidRDefault="0034634B">
      <w:pPr>
        <w:pStyle w:val="ad"/>
        <w:jc w:val="left"/>
        <w:rPr>
          <w:rFonts w:asciiTheme="minorHAnsi" w:eastAsiaTheme="minorEastAsia" w:hAnsiTheme="minorHAnsi" w:cstheme="minorHAnsi"/>
          <w:sz w:val="16"/>
          <w:szCs w:val="16"/>
          <w:highlight w:val="yellow"/>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Ευρωπαϊκή Επιτροπή, </w:t>
      </w:r>
      <w:r>
        <w:rPr>
          <w:rStyle w:val="-"/>
          <w:rFonts w:asciiTheme="minorHAnsi" w:eastAsiaTheme="minorEastAsia" w:hAnsiTheme="minorHAnsi" w:cstheme="minorHAnsi"/>
          <w:sz w:val="16"/>
        </w:rPr>
        <w:t>υπολογισμοί βάσει CORDA (κοινή βάση ερευνητικών δεδομένων)</w:t>
      </w:r>
      <w:r>
        <w:rPr>
          <w:rFonts w:asciiTheme="minorHAnsi" w:eastAsiaTheme="minorEastAsia" w:hAnsiTheme="minorHAnsi" w:cstheme="minorHAnsi"/>
          <w:sz w:val="16"/>
        </w:rPr>
        <w:t>. Το μέγιστο ποσό επιχορήγησης είναι το μέγιστο ποσό επιχορήγησης που αποφάσισε η Επιτροπή. Κανονικά αντιστοιχεί στην αιτούμενη επιχορήγηση, αλλά ενδέχεται να είναι χαμηλότερο.</w:t>
      </w:r>
    </w:p>
  </w:footnote>
  <w:footnote w:id="128">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Ήτοι, ii) επισιτιστική ασφάλεια, βιώσιμη γεωργία και δασοκομία, έρευνα στον τομέα της θάλασσας, της ναυτιλίας και των εσωτερικών υδάτων, και βιοοικονομία· iii) ασφαλής, καθαρή και αποδοτική ενέργεια· iv) έξυπνες, οικολογικές και ενοποιημένες μεταφορές· και v) δράση για το κλίμα, περιβάλλον, αποδοτική χρήση των πόρων και πρώτες ύλες.</w:t>
      </w:r>
    </w:p>
  </w:footnote>
  <w:footnote w:id="129">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Ευρωπαϊκή Επιτροπή, </w:t>
      </w:r>
      <w:r>
        <w:rPr>
          <w:rStyle w:val="-"/>
          <w:rFonts w:asciiTheme="minorHAnsi" w:eastAsiaTheme="minorEastAsia" w:hAnsiTheme="minorHAnsi" w:cstheme="minorHAnsi"/>
          <w:sz w:val="16"/>
        </w:rPr>
        <w:t>υπολογισμοί βάσει CORDA (κοινή βάση ερευνητικών δεδομένων)</w:t>
      </w:r>
      <w:r>
        <w:rPr>
          <w:rFonts w:asciiTheme="minorHAnsi" w:hAnsiTheme="minorHAnsi" w:cstheme="minorHAnsi"/>
          <w:sz w:val="16"/>
        </w:rPr>
        <w:t>.</w:t>
      </w:r>
    </w:p>
  </w:footnote>
  <w:footnote w:id="130">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Υπηρεσίες της Επιτροπής, βάσει δεδομένων που παρείχε ο EASME.</w:t>
      </w:r>
    </w:p>
  </w:footnote>
  <w:footnote w:id="131">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Ευρωπαϊκή Επιτροπή, </w:t>
      </w:r>
      <w:hyperlink r:id="rId113">
        <w:r>
          <w:rPr>
            <w:rStyle w:val="-"/>
            <w:rFonts w:asciiTheme="minorHAnsi" w:eastAsiaTheme="minorEastAsia" w:hAnsiTheme="minorHAnsi" w:cstheme="minorHAnsi"/>
            <w:sz w:val="16"/>
          </w:rPr>
          <w:t>LIFE ForestLife</w:t>
        </w:r>
      </w:hyperlink>
      <w:r>
        <w:rPr>
          <w:rFonts w:asciiTheme="minorHAnsi" w:eastAsiaTheme="minorEastAsia" w:hAnsiTheme="minorHAnsi" w:cstheme="minorHAnsi"/>
          <w:sz w:val="16"/>
        </w:rPr>
        <w:t>.</w:t>
      </w:r>
    </w:p>
  </w:footnote>
  <w:footnote w:id="132">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Ευρωπαϊκή Επιτροπή, Πρόγραμμα Life, </w:t>
      </w:r>
      <w:hyperlink r:id="rId114">
        <w:r>
          <w:rPr>
            <w:rStyle w:val="-"/>
            <w:rFonts w:asciiTheme="minorHAnsi" w:hAnsiTheme="minorHAnsi" w:cstheme="minorHAnsi"/>
            <w:sz w:val="16"/>
          </w:rPr>
          <w:t>LIFE by country: Greece</w:t>
        </w:r>
      </w:hyperlink>
      <w:r>
        <w:rPr>
          <w:rFonts w:asciiTheme="minorHAnsi" w:hAnsiTheme="minorHAnsi" w:cstheme="minorHAnsi"/>
          <w:sz w:val="16"/>
        </w:rPr>
        <w:t xml:space="preserve"> (Το LIFE ανά χώρα: Ελλάδα).</w:t>
      </w:r>
    </w:p>
  </w:footnote>
  <w:footnote w:id="133">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Style w:val="-"/>
          <w:rFonts w:asciiTheme="minorHAnsi" w:hAnsiTheme="minorHAnsi" w:cstheme="minorHAnsi"/>
          <w:sz w:val="16"/>
        </w:rPr>
        <w:t xml:space="preserve"> </w:t>
      </w:r>
      <w:r>
        <w:rPr>
          <w:rFonts w:asciiTheme="minorHAnsi" w:hAnsiTheme="minorHAnsi" w:cstheme="minorHAnsi"/>
          <w:sz w:val="16"/>
        </w:rPr>
        <w:t xml:space="preserve">Ευρωπαϊκή Τράπεζα Επενδύσεων, </w:t>
      </w:r>
      <w:hyperlink r:id="rId115">
        <w:r>
          <w:rPr>
            <w:rStyle w:val="-"/>
            <w:rFonts w:asciiTheme="minorHAnsi" w:hAnsiTheme="minorHAnsi" w:cstheme="minorHAnsi"/>
            <w:sz w:val="16"/>
          </w:rPr>
          <w:t>The European Investment Bank in Greece 2013-2017</w:t>
        </w:r>
      </w:hyperlink>
      <w:r>
        <w:rPr>
          <w:rStyle w:val="-"/>
          <w:rFonts w:asciiTheme="minorHAnsi" w:hAnsiTheme="minorHAnsi" w:cstheme="minorHAnsi"/>
          <w:sz w:val="16"/>
        </w:rPr>
        <w:t xml:space="preserve"> (Η Ευρωπαϊκή Τράπεζα Επενδύσεων στην Ελλάδα, 2013-2017).</w:t>
      </w:r>
    </w:p>
  </w:footnote>
  <w:footnote w:id="134">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Ευρωπαϊκή Τράπεζα Επενδύσεων, </w:t>
      </w:r>
      <w:hyperlink r:id="rId116">
        <w:r>
          <w:rPr>
            <w:rStyle w:val="-"/>
            <w:rFonts w:asciiTheme="minorHAnsi" w:hAnsiTheme="minorHAnsi" w:cstheme="minorHAnsi"/>
            <w:sz w:val="16"/>
          </w:rPr>
          <w:t>Greece and the EIB</w:t>
        </w:r>
      </w:hyperlink>
      <w:r>
        <w:t xml:space="preserve"> (Η Ελλάδα και η ΕΤΕπ).</w:t>
      </w:r>
      <w:r>
        <w:rPr>
          <w:rStyle w:val="-"/>
          <w:rFonts w:asciiTheme="minorHAnsi" w:hAnsiTheme="minorHAnsi" w:cstheme="minorHAnsi"/>
          <w:color w:val="auto"/>
          <w:sz w:val="16"/>
          <w:u w:val="none"/>
        </w:rPr>
        <w:t xml:space="preserve"> </w:t>
      </w:r>
    </w:p>
  </w:footnote>
  <w:footnote w:id="135">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w:t>
      </w:r>
      <w:hyperlink r:id="rId117">
        <w:r>
          <w:rPr>
            <w:rStyle w:val="-"/>
            <w:rFonts w:asciiTheme="minorHAnsi" w:eastAsiaTheme="minorEastAsia" w:hAnsiTheme="minorHAnsi" w:cstheme="minorHAnsi"/>
            <w:sz w:val="16"/>
          </w:rPr>
          <w:t>ΕΤΕπ, Η Ελλάδα και η ΕΤΕπ, 2018</w:t>
        </w:r>
      </w:hyperlink>
      <w:r>
        <w:rPr>
          <w:rFonts w:asciiTheme="minorHAnsi" w:eastAsiaTheme="minorEastAsia" w:hAnsiTheme="minorHAnsi" w:cstheme="minorHAnsi"/>
          <w:sz w:val="16"/>
        </w:rPr>
        <w:t>.</w:t>
      </w:r>
    </w:p>
  </w:footnote>
  <w:footnote w:id="136">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ΕΤΕπ, </w:t>
      </w:r>
      <w:hyperlink r:id="rId118">
        <w:r>
          <w:rPr>
            <w:rStyle w:val="-"/>
            <w:rFonts w:asciiTheme="minorHAnsi" w:hAnsiTheme="minorHAnsi" w:cstheme="minorHAnsi"/>
            <w:sz w:val="16"/>
          </w:rPr>
          <w:t>EFSI project map</w:t>
        </w:r>
      </w:hyperlink>
      <w:r>
        <w:rPr>
          <w:rStyle w:val="-"/>
          <w:rFonts w:asciiTheme="minorHAnsi" w:hAnsiTheme="minorHAnsi" w:cstheme="minorHAnsi"/>
          <w:sz w:val="16"/>
        </w:rPr>
        <w:t xml:space="preserve"> (Χάρτης έργων του ΕΤΣΕ).</w:t>
      </w:r>
    </w:p>
  </w:footnote>
  <w:footnote w:id="137">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Eurostat, </w:t>
      </w:r>
      <w:hyperlink r:id="rId119">
        <w:r>
          <w:rPr>
            <w:rStyle w:val="-"/>
            <w:rFonts w:asciiTheme="minorHAnsi" w:eastAsiaTheme="minorEastAsia" w:hAnsiTheme="minorHAnsi" w:cstheme="minorHAnsi"/>
            <w:sz w:val="16"/>
          </w:rPr>
          <w:t>General Government Expenditure by function</w:t>
        </w:r>
      </w:hyperlink>
      <w:r>
        <w:rPr>
          <w:rFonts w:asciiTheme="minorHAnsi" w:eastAsiaTheme="minorEastAsia" w:hAnsiTheme="minorHAnsi" w:cstheme="minorHAnsi"/>
          <w:sz w:val="16"/>
        </w:rPr>
        <w:t xml:space="preserve"> (Γενικές κρατικές δαπάνες ανά λειτουργία), 2018.</w:t>
      </w:r>
    </w:p>
  </w:footnote>
  <w:footnote w:id="138">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Eurostat, </w:t>
      </w:r>
      <w:hyperlink r:id="rId120">
        <w:r>
          <w:rPr>
            <w:rStyle w:val="-"/>
            <w:rFonts w:asciiTheme="minorHAnsi" w:eastAsiaTheme="minorEastAsia" w:hAnsiTheme="minorHAnsi" w:cstheme="minorHAnsi"/>
            <w:sz w:val="16"/>
          </w:rPr>
          <w:t>General Government Expenditure by function</w:t>
        </w:r>
      </w:hyperlink>
      <w:r>
        <w:rPr>
          <w:rFonts w:asciiTheme="minorHAnsi" w:eastAsiaTheme="minorEastAsia" w:hAnsiTheme="minorHAnsi" w:cstheme="minorHAnsi"/>
          <w:sz w:val="16"/>
        </w:rPr>
        <w:t xml:space="preserve"> (Γενικές κρατικές δαπάνες ανά λειτουργία), 2018.</w:t>
      </w:r>
    </w:p>
  </w:footnote>
  <w:footnote w:id="139">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Η σύμβαση του Aarhus, η οδηγία για την πρόσβαση σε περιβαλλοντικές πληροφορίες </w:t>
      </w:r>
      <w:hyperlink r:id="rId121">
        <w:r>
          <w:rPr>
            <w:rStyle w:val="-"/>
            <w:rFonts w:asciiTheme="minorHAnsi" w:hAnsiTheme="minorHAnsi" w:cstheme="minorHAnsi"/>
            <w:sz w:val="16"/>
          </w:rPr>
          <w:t>(οδηγία 2003/4/ΕΚ)</w:t>
        </w:r>
      </w:hyperlink>
      <w:r>
        <w:rPr>
          <w:rFonts w:asciiTheme="minorHAnsi" w:hAnsiTheme="minorHAnsi" w:cstheme="minorHAnsi"/>
          <w:sz w:val="16"/>
        </w:rPr>
        <w:t xml:space="preserve"> και η οδηγία INSPIRE </w:t>
      </w:r>
      <w:hyperlink r:id="rId122">
        <w:r>
          <w:rPr>
            <w:rStyle w:val="-"/>
            <w:rFonts w:asciiTheme="minorHAnsi" w:hAnsiTheme="minorHAnsi" w:cstheme="minorHAnsi"/>
            <w:sz w:val="16"/>
          </w:rPr>
          <w:t>(οδηγία 2007/2/ΕΚ)</w:t>
        </w:r>
      </w:hyperlink>
      <w:r>
        <w:t xml:space="preserve"> </w:t>
      </w:r>
      <w:r>
        <w:rPr>
          <w:rFonts w:asciiTheme="minorHAnsi" w:hAnsiTheme="minorHAnsi" w:cstheme="minorHAnsi"/>
          <w:sz w:val="16"/>
        </w:rPr>
        <w:t>συγκροτούν μια νομική βάση για την ανταλλαγή περιβαλλοντικών πληροφοριών μεταξύ των δημόσιων αρχών και με το κοινό. Η παρούσα ΕΕΠΠ εστιάζει στην οδηγία INSPIRE.</w:t>
      </w:r>
    </w:p>
  </w:footnote>
  <w:footnote w:id="140">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Οι εγγυήσεις περιγράφονται αναλυτικά στην ανακοίνωση της Επιτροπής σχετικά με την πρόσβαση στη δικαιοσύνη για περιβαλλοντικά θέματα (ΕΕ C 275, της 18.8.2017) και σε σχετικό οδηγό του πολίτη.</w:t>
      </w:r>
    </w:p>
  </w:footnote>
  <w:footnote w:id="141">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Η παρούσα ΕΕΠΠ εξετάζει κατά πόσο τα κράτη μέλη ενημερώνουν ικανοποιητικά  το κοινό σχετικά με τα δικαιώματα πρόσβασης στη δικαιοσύνη, καθώς και τη νομιμοποίηση και άλλους σημαντικούς φραγμούς στην παραπομπή στο δικαστήριο υποθέσεων που αφορούν τη φύση και την ατμοσφαιρική ρύπανση.</w:t>
      </w:r>
    </w:p>
  </w:footnote>
  <w:footnote w:id="142">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w:t>
      </w:r>
      <w:hyperlink r:id="rId123">
        <w:r>
          <w:rPr>
            <w:rStyle w:val="-"/>
            <w:rFonts w:asciiTheme="minorHAnsi" w:hAnsiTheme="minorHAnsi" w:cstheme="minorHAnsi"/>
            <w:sz w:val="16"/>
          </w:rPr>
          <w:t>Διαδικτυακή πύλη του Υπουργείου Περιβάλλοντος και Ενέργειας</w:t>
        </w:r>
      </w:hyperlink>
      <w:r>
        <w:rPr>
          <w:rStyle w:val="-"/>
          <w:rFonts w:asciiTheme="minorHAnsi" w:hAnsiTheme="minorHAnsi" w:cstheme="minorHAnsi"/>
          <w:color w:val="auto"/>
          <w:sz w:val="16"/>
          <w:u w:val="none"/>
        </w:rPr>
        <w:t xml:space="preserve"> </w:t>
      </w:r>
    </w:p>
  </w:footnote>
  <w:footnote w:id="143">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Οδηγία INSPIRE, </w:t>
      </w:r>
      <w:hyperlink r:id="rId124">
        <w:r>
          <w:rPr>
            <w:rStyle w:val="-"/>
            <w:rFonts w:asciiTheme="minorHAnsi" w:eastAsiaTheme="minorEastAsia" w:hAnsiTheme="minorHAnsi" w:cstheme="minorHAnsi"/>
            <w:sz w:val="16"/>
          </w:rPr>
          <w:t>Δελτίο χώρας</w:t>
        </w:r>
      </w:hyperlink>
      <w:r>
        <w:t xml:space="preserve"> </w:t>
      </w:r>
      <w:r>
        <w:rPr>
          <w:rFonts w:asciiTheme="minorHAnsi" w:eastAsiaTheme="minorEastAsia" w:hAnsiTheme="minorHAnsi" w:cstheme="minorHAnsi"/>
          <w:sz w:val="16"/>
        </w:rPr>
        <w:t>2017 για την Ελλάδα.</w:t>
      </w:r>
    </w:p>
  </w:footnote>
  <w:footnote w:id="144">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Οδηγία INSPIRE, </w:t>
      </w:r>
      <w:hyperlink r:id="rId125" w:anchor="/dashboard?url=%2Fdashboard%2Fapp%2Fkibana%3F%23%2Fdashboard%2F89b2d4a0-2c25-11e7-8cd9-338183f2da0f%3F_g%3D(time:(from:now-5y,mode:quick,to:now))%26embed">
        <w:r>
          <w:rPr>
            <w:rStyle w:val="-"/>
            <w:rFonts w:asciiTheme="minorHAnsi" w:eastAsiaTheme="minorEastAsia" w:hAnsiTheme="minorHAnsi" w:cstheme="minorHAnsi"/>
            <w:sz w:val="16"/>
          </w:rPr>
          <w:t>Πίνακας δεικτών παρακολούθησης</w:t>
        </w:r>
      </w:hyperlink>
      <w:r>
        <w:t>.</w:t>
      </w:r>
    </w:p>
  </w:footnote>
  <w:footnote w:id="145">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Ευρωπαϊκή Επιτροπή, </w:t>
      </w:r>
      <w:hyperlink r:id="rId126">
        <w:r>
          <w:rPr>
            <w:rStyle w:val="-"/>
            <w:rFonts w:asciiTheme="minorHAnsi" w:hAnsiTheme="minorHAnsi" w:cstheme="minorHAnsi"/>
            <w:sz w:val="16"/>
          </w:rPr>
          <w:t>Κατάλογος συνόλων χωρικών δεδομένων υψηλής αξίας</w:t>
        </w:r>
      </w:hyperlink>
      <w:r>
        <w:t>.</w:t>
      </w:r>
    </w:p>
  </w:footnote>
  <w:footnote w:id="146">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w:t>
      </w:r>
      <w:hyperlink r:id="rId127">
        <w:r>
          <w:rPr>
            <w:rStyle w:val="-"/>
            <w:rFonts w:asciiTheme="minorHAnsi" w:eastAsiaTheme="minorEastAsia" w:hAnsiTheme="minorHAnsi" w:cstheme="minorHAnsi"/>
            <w:sz w:val="16"/>
          </w:rPr>
          <w:t>Νόμος 3422/2005 (ΦΕΚ 303/Α/13.12.2005</w:t>
        </w:r>
      </w:hyperlink>
      <w:r>
        <w:rPr>
          <w:rFonts w:asciiTheme="minorHAnsi" w:eastAsiaTheme="minorEastAsia" w:hAnsiTheme="minorHAnsi" w:cstheme="minorHAnsi"/>
          <w:sz w:val="16"/>
        </w:rPr>
        <w:t>).</w:t>
      </w:r>
    </w:p>
  </w:footnote>
  <w:footnote w:id="147">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Υπουργείο Διοικητικής Ανασυγκρότησης, </w:t>
      </w:r>
      <w:hyperlink r:id="rId128">
        <w:r>
          <w:rPr>
            <w:rStyle w:val="-"/>
            <w:rFonts w:asciiTheme="minorHAnsi" w:hAnsiTheme="minorHAnsi" w:cstheme="minorHAnsi"/>
            <w:sz w:val="16"/>
          </w:rPr>
          <w:t>Διαδικτυακή πύλη «Ανοικτή Διακυβέρνηση»</w:t>
        </w:r>
      </w:hyperlink>
      <w:r>
        <w:t>.</w:t>
      </w:r>
      <w:r>
        <w:rPr>
          <w:rFonts w:asciiTheme="minorHAnsi" w:hAnsiTheme="minorHAnsi" w:cstheme="minorHAnsi"/>
          <w:sz w:val="16"/>
        </w:rPr>
        <w:t xml:space="preserve"> </w:t>
      </w:r>
    </w:p>
  </w:footnote>
  <w:footnote w:id="148">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Ελληνική Δημοκρατία, </w:t>
      </w:r>
      <w:hyperlink r:id="rId129">
        <w:r>
          <w:rPr>
            <w:rStyle w:val="-"/>
            <w:rFonts w:asciiTheme="minorHAnsi" w:hAnsiTheme="minorHAnsi" w:cstheme="minorHAnsi"/>
            <w:sz w:val="16"/>
          </w:rPr>
          <w:t>Ηλεκτρονικό Περιβαλλοντικό Μητρώο</w:t>
        </w:r>
      </w:hyperlink>
      <w:r>
        <w:t>.</w:t>
      </w:r>
      <w:r>
        <w:rPr>
          <w:rFonts w:asciiTheme="minorHAnsi" w:hAnsiTheme="minorHAnsi" w:cstheme="minorHAnsi"/>
          <w:sz w:val="16"/>
        </w:rPr>
        <w:t xml:space="preserve"> </w:t>
      </w:r>
    </w:p>
  </w:footnote>
  <w:footnote w:id="149">
    <w:p w:rsidR="0034634B" w:rsidRDefault="0034634B">
      <w:pPr>
        <w:spacing w:after="0"/>
        <w:jc w:val="left"/>
        <w:rPr>
          <w:rFonts w:eastAsiaTheme="minorEastAsia" w:cstheme="minorHAnsi"/>
          <w:sz w:val="16"/>
          <w:szCs w:val="16"/>
        </w:rPr>
      </w:pPr>
      <w:r>
        <w:rPr>
          <w:rStyle w:val="ae"/>
          <w:rFonts w:eastAsiaTheme="minorEastAsia" w:cstheme="minorHAnsi"/>
          <w:sz w:val="16"/>
        </w:rPr>
        <w:footnoteRef/>
      </w:r>
      <w:r>
        <w:rPr>
          <w:rFonts w:eastAsiaTheme="minorEastAsia" w:cstheme="minorHAnsi"/>
          <w:sz w:val="16"/>
        </w:rPr>
        <w:t xml:space="preserve"> WWF Ελλάς (2017), </w:t>
      </w:r>
      <w:hyperlink r:id="rId130">
        <w:r>
          <w:rPr>
            <w:rStyle w:val="-"/>
            <w:rFonts w:eastAsiaTheme="minorEastAsia" w:cstheme="minorHAnsi"/>
            <w:sz w:val="16"/>
          </w:rPr>
          <w:t>Γενικές παρατηρήσεις για την εφαρμογή της συνθήκης Άαρχους</w:t>
        </w:r>
      </w:hyperlink>
      <w:r>
        <w:t>.</w:t>
      </w:r>
    </w:p>
  </w:footnote>
  <w:footnote w:id="150">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Ευρωπαϊκή Επιτροπή, </w:t>
      </w:r>
      <w:hyperlink r:id="rId131">
        <w:r>
          <w:rPr>
            <w:rStyle w:val="-"/>
            <w:rFonts w:asciiTheme="minorHAnsi" w:eastAsiaTheme="minorEastAsia" w:hAnsiTheme="minorHAnsi" w:cstheme="minorHAnsi"/>
            <w:sz w:val="16"/>
          </w:rPr>
          <w:t>INSPIRE</w:t>
        </w:r>
      </w:hyperlink>
      <w:r>
        <w:rPr>
          <w:rStyle w:val="-"/>
          <w:rFonts w:asciiTheme="minorHAnsi" w:eastAsiaTheme="minorEastAsia" w:hAnsiTheme="minorHAnsi" w:cstheme="minorHAnsi"/>
          <w:sz w:val="16"/>
        </w:rPr>
        <w:t>.</w:t>
      </w:r>
    </w:p>
  </w:footnote>
  <w:footnote w:id="151">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Η σχετική έννοια εξηγείται λεπτομερώς στην ανακοίνωση με τίτλο «Ενέργειες της ΕΕ για τη βελτίωση της περιβαλλοντικής συμμόρφωσης και διακυβέρνησης», </w:t>
      </w:r>
      <w:hyperlink r:id="rId132">
        <w:r>
          <w:rPr>
            <w:rStyle w:val="-"/>
            <w:rFonts w:asciiTheme="minorHAnsi" w:hAnsiTheme="minorHAnsi" w:cstheme="minorHAnsi"/>
            <w:sz w:val="16"/>
          </w:rPr>
          <w:t>COM(2018)10</w:t>
        </w:r>
      </w:hyperlink>
      <w:r>
        <w:rPr>
          <w:rFonts w:asciiTheme="minorHAnsi" w:hAnsiTheme="minorHAnsi" w:cstheme="minorHAnsi"/>
          <w:sz w:val="16"/>
        </w:rPr>
        <w:t xml:space="preserve">, και στο σχετικό έγγραφο εργασίας των υπηρεσιών της Επιτροπής, </w:t>
      </w:r>
      <w:hyperlink r:id="rId133">
        <w:r>
          <w:rPr>
            <w:rStyle w:val="-"/>
            <w:rFonts w:asciiTheme="minorHAnsi" w:hAnsiTheme="minorHAnsi" w:cstheme="minorHAnsi"/>
            <w:sz w:val="16"/>
          </w:rPr>
          <w:t>SWD(2018)10</w:t>
        </w:r>
      </w:hyperlink>
      <w:r>
        <w:rPr>
          <w:rFonts w:asciiTheme="minorHAnsi" w:hAnsiTheme="minorHAnsi" w:cstheme="minorHAnsi"/>
          <w:sz w:val="16"/>
        </w:rPr>
        <w:t>.</w:t>
      </w:r>
    </w:p>
  </w:footnote>
  <w:footnote w:id="152">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Η παρούσα ΕΕΠΠ εστιάζει στη βοήθεια που δίνεται στους γεωργούς για τη συμμόρφωσή τους με τη νομοθεσία που διέπει την προστασία της φύσης και τη νιτρορύπανση.</w:t>
      </w:r>
    </w:p>
  </w:footnote>
  <w:footnote w:id="153">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Η παρούσα ΕΕΠΠ εστιάζει σε επιθεωρήσεις μεγάλων βιομηχανικών εγκαταστάσεων.</w:t>
      </w:r>
    </w:p>
  </w:footnote>
  <w:footnote w:id="154">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Η παρούσα ΕΕΠΠ εστιάζει στη διαθεσιμότητα δεδομένων σχετικά με την επιβολή της νομοθεσίας και στον συντονισμό μεταξύ των αρχών για την αντιμετώπιση του περιβαλλοντικού εγκλήματος.</w:t>
      </w:r>
    </w:p>
  </w:footnote>
  <w:footnote w:id="155">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Η </w:t>
      </w:r>
      <w:hyperlink r:id="rId134">
        <w:r>
          <w:rPr>
            <w:rStyle w:val="-"/>
            <w:rFonts w:asciiTheme="minorHAnsi" w:hAnsiTheme="minorHAnsi" w:cstheme="minorHAnsi"/>
            <w:sz w:val="16"/>
          </w:rPr>
          <w:t>οδηγία για την περιβαλλοντική ευθύνη (2004/35/ΕΚ)</w:t>
        </w:r>
      </w:hyperlink>
      <w:r>
        <w:t xml:space="preserve"> </w:t>
      </w:r>
      <w:r>
        <w:rPr>
          <w:rFonts w:asciiTheme="minorHAnsi" w:eastAsiaTheme="minorEastAsia" w:hAnsiTheme="minorHAnsi" w:cstheme="minorHAnsi"/>
          <w:sz w:val="16"/>
        </w:rPr>
        <w:t>δημιουργεί το σχετικό πλαίσιο.</w:t>
      </w:r>
    </w:p>
  </w:footnote>
  <w:footnote w:id="156">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Άρθρο 23, οδηγία περί βιομηχανικών εκπομπών </w:t>
      </w:r>
      <w:hyperlink r:id="rId135">
        <w:r>
          <w:rPr>
            <w:rStyle w:val="-"/>
            <w:rFonts w:asciiTheme="minorHAnsi" w:eastAsiaTheme="minorEastAsia" w:hAnsiTheme="minorHAnsi" w:cstheme="minorHAnsi"/>
            <w:sz w:val="16"/>
          </w:rPr>
          <w:t>(2010/75/ΕΕ)</w:t>
        </w:r>
      </w:hyperlink>
      <w:r>
        <w:rPr>
          <w:rFonts w:asciiTheme="minorHAnsi" w:eastAsiaTheme="minorEastAsia" w:hAnsiTheme="minorHAnsi" w:cstheme="minorHAnsi"/>
          <w:sz w:val="16"/>
        </w:rPr>
        <w:t>.</w:t>
      </w:r>
    </w:p>
  </w:footnote>
  <w:footnote w:id="157">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w:t>
      </w:r>
      <w:hyperlink r:id="rId136">
        <w:r>
          <w:rPr>
            <w:rStyle w:val="-"/>
            <w:rFonts w:asciiTheme="minorHAnsi" w:eastAsiaTheme="minorEastAsia" w:hAnsiTheme="minorHAnsi" w:cstheme="minorHAnsi"/>
            <w:sz w:val="16"/>
          </w:rPr>
          <w:t>Οδηγία 2014/52/ΕΕ</w:t>
        </w:r>
      </w:hyperlink>
      <w:r>
        <w:rPr>
          <w:rStyle w:val="normaltextrun"/>
          <w:rFonts w:asciiTheme="minorHAnsi" w:eastAsiaTheme="minorEastAsia" w:hAnsiTheme="minorHAnsi" w:cstheme="minorHAnsi"/>
          <w:sz w:val="16"/>
        </w:rPr>
        <w:t xml:space="preserve"> του Ευρωπαϊκού Κοινοβουλίου και του Συμβουλίου, της 16ης Απριλίου 2014, για την τροποποίηση της οδηγίας 2011/92/ΕΕ σχετικά με την εκτίμηση των επιπτώσεων ορισμένων σχεδίων δημοσίων και ιδιωτικών έργων στο περιβάλλον</w:t>
      </w:r>
      <w:r>
        <w:rPr>
          <w:rFonts w:asciiTheme="minorHAnsi" w:eastAsiaTheme="minorEastAsia" w:hAnsiTheme="minorHAnsi" w:cstheme="minorHAnsi"/>
          <w:sz w:val="16"/>
        </w:rPr>
        <w:t>.</w:t>
      </w:r>
    </w:p>
  </w:footnote>
  <w:footnote w:id="158">
    <w:p w:rsidR="0034634B" w:rsidRDefault="0034634B">
      <w:pPr>
        <w:pStyle w:val="paragraph"/>
        <w:jc w:val="left"/>
        <w:textAlignment w:val="baseline"/>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w:t>
      </w:r>
      <w:r>
        <w:rPr>
          <w:rStyle w:val="normaltextrun"/>
          <w:rFonts w:asciiTheme="minorHAnsi" w:eastAsiaTheme="minorEastAsia" w:hAnsiTheme="minorHAnsi" w:cstheme="minorHAnsi"/>
          <w:sz w:val="16"/>
        </w:rPr>
        <w:t>Η Επιτροπή εξέδωσε έγγραφο καθοδήγησης το 2016 σχετικά με την καθιέρωση συντονισμένων και/ή κοινών διαδικασιών που θα υποβάλλονται ταυτόχρονα στις εκτιμήσεις που προβλέπουν η οδηγία ΕΠΕ, η οδηγία για τους οικοτόπους, η οδηγία-πλαίσιο για τα ύδατα και η οδηγία για τις βιομηχανικές εκπομπές, ΕΕ C 273, της 27.7.2016, σ. 1.</w:t>
      </w:r>
    </w:p>
  </w:footnote>
  <w:footnote w:id="159">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Ευρωπαϊκή Επιτροπή, </w:t>
      </w:r>
      <w:hyperlink r:id="rId137">
        <w:r>
          <w:rPr>
            <w:rStyle w:val="-"/>
            <w:rFonts w:asciiTheme="minorHAnsi" w:hAnsiTheme="minorHAnsi" w:cstheme="minorHAnsi"/>
            <w:sz w:val="16"/>
          </w:rPr>
          <w:t>«Digital Economy and Society Index Report 2018 – Digital Public Services»</w:t>
        </w:r>
      </w:hyperlink>
      <w:r>
        <w:t xml:space="preserve"> </w:t>
      </w:r>
      <w:r>
        <w:rPr>
          <w:rFonts w:asciiTheme="minorHAnsi" w:eastAsiaTheme="minorEastAsia" w:hAnsiTheme="minorHAnsi" w:cstheme="minorHAnsi"/>
          <w:sz w:val="16"/>
        </w:rPr>
        <w:t>(Έκθεση του Δείκτη Ψηφιακής Οικονομίας και Κοινωνίας 2018 — Ψηφιακές δημόσιες υπηρεσίες).</w:t>
      </w:r>
    </w:p>
  </w:footnote>
  <w:footnote w:id="160">
    <w:p w:rsidR="0034634B" w:rsidRDefault="0034634B">
      <w:pPr>
        <w:spacing w:after="0"/>
        <w:jc w:val="left"/>
        <w:rPr>
          <w:rFonts w:cstheme="minorHAnsi"/>
          <w:sz w:val="16"/>
          <w:szCs w:val="16"/>
        </w:rPr>
      </w:pPr>
      <w:r>
        <w:rPr>
          <w:rStyle w:val="ae"/>
          <w:rFonts w:cstheme="minorHAnsi"/>
          <w:sz w:val="16"/>
        </w:rPr>
        <w:footnoteRef/>
      </w:r>
      <w:r>
        <w:rPr>
          <w:rFonts w:cstheme="minorHAnsi"/>
          <w:sz w:val="16"/>
        </w:rPr>
        <w:t xml:space="preserve"> </w:t>
      </w:r>
      <w:hyperlink r:id="rId138">
        <w:r>
          <w:rPr>
            <w:rStyle w:val="-"/>
            <w:rFonts w:cstheme="minorHAnsi"/>
            <w:sz w:val="16"/>
          </w:rPr>
          <w:t>Ψήφισμα 72/277 της Γενικής Συνέλευσης των Ηνωμένων Εθνών</w:t>
        </w:r>
      </w:hyperlink>
      <w:r>
        <w:rPr>
          <w:rFonts w:cstheme="minorHAnsi"/>
          <w:sz w:val="16"/>
        </w:rPr>
        <w:t xml:space="preserve"> και </w:t>
      </w:r>
      <w:hyperlink r:id="rId139">
        <w:r>
          <w:rPr>
            <w:rStyle w:val="-"/>
            <w:rFonts w:cstheme="minorHAnsi"/>
            <w:sz w:val="16"/>
          </w:rPr>
          <w:t>Οργανωτική συνεδρίαση της ad-hoc ομάδας εργασίας ανοικτής σύνθεσης</w:t>
        </w:r>
      </w:hyperlink>
      <w:r>
        <w:rPr>
          <w:rFonts w:cstheme="minorHAnsi"/>
          <w:sz w:val="16"/>
        </w:rPr>
        <w:t xml:space="preserve">. </w:t>
      </w:r>
    </w:p>
  </w:footnote>
  <w:footnote w:id="161">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Ήτοι: το πρωτόκολλο του Γκέτεμποργκ για τη μείωση της οξίνισης, του ευτροφισμού και του τροποσφαιρικού όζοντος· το πρωτόκολλο για τους έμμονους οργανικούς ρύπους· και το πρωτόκολλο για τα βαρέα μέταλλα.</w:t>
      </w:r>
    </w:p>
  </w:footnote>
  <w:footnote w:id="162">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w:t>
      </w:r>
      <w:hyperlink r:id="rId140">
        <w:r>
          <w:rPr>
            <w:rStyle w:val="-"/>
            <w:rFonts w:asciiTheme="minorHAnsi" w:hAnsiTheme="minorHAnsi" w:cstheme="minorHAnsi"/>
            <w:sz w:val="16"/>
          </w:rPr>
          <w:t>Κανονισμός (ΕΕ) αριθ. 995/2010 του Ευρωπαϊκού Κοινοβουλίου και του Συμβουλίου, της 20ής Οκτωβρίου 2010.</w:t>
        </w:r>
      </w:hyperlink>
    </w:p>
  </w:footnote>
  <w:footnote w:id="163">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w:t>
      </w:r>
      <w:hyperlink r:id="rId141">
        <w:r>
          <w:rPr>
            <w:rStyle w:val="-"/>
            <w:rFonts w:asciiTheme="minorHAnsi" w:eastAsiaTheme="minorEastAsia" w:hAnsiTheme="minorHAnsi" w:cstheme="minorHAnsi"/>
            <w:sz w:val="16"/>
          </w:rPr>
          <w:t>Κανονισμός (ΕΚ) αριθ. 2173/2005</w:t>
        </w:r>
      </w:hyperlink>
      <w:r>
        <w:rPr>
          <w:rFonts w:asciiTheme="minorHAnsi" w:eastAsiaTheme="minorEastAsia" w:hAnsiTheme="minorHAnsi" w:cstheme="minorHAnsi"/>
          <w:sz w:val="16"/>
        </w:rPr>
        <w:t xml:space="preserve"> του Συμβουλίου, της 20ής Δεκεμβρίου 2005, περί δημιουργίας εθελοντικού συστήματος αδειών FLEGT για τις εισαγωγές ξυλείας στην Ευρωπαϊκή Κοινότητα.</w:t>
      </w:r>
    </w:p>
  </w:footnote>
  <w:footnote w:id="164">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w:t>
      </w:r>
      <w:hyperlink r:id="rId142">
        <w:r>
          <w:rPr>
            <w:rStyle w:val="-"/>
            <w:rFonts w:asciiTheme="minorHAnsi" w:hAnsiTheme="minorHAnsi" w:cstheme="minorHAnsi"/>
            <w:sz w:val="16"/>
          </w:rPr>
          <w:t>Κανονισμός (ΕΕ) αριθ. 511/2014</w:t>
        </w:r>
      </w:hyperlink>
      <w:r>
        <w:rPr>
          <w:rFonts w:asciiTheme="minorHAnsi" w:hAnsiTheme="minorHAnsi" w:cstheme="minorHAnsi"/>
          <w:sz w:val="16"/>
        </w:rPr>
        <w:t xml:space="preserve"> του Ευρωπαϊκού Κοινοβουλίου και του Συμβουλίου, της 16ης Απριλίου 2014, σχετικά με τα μέτρα συμμόρφωσης των χρηστών βάσει του πρωτοκόλλου της Ναγκόγια για την πρόσβαση στους γενετικούς πόρους και τον δίκαιο και ισότιμο καταμερισμό των οφελών που απορρέουν από τη χρησιμοποίησή τους στην Ένωση (κείμενο που παρουσιάζει ενδιαφέρον για τον ΕΟΧ).</w:t>
      </w:r>
    </w:p>
  </w:footnote>
  <w:footnote w:id="165">
    <w:p w:rsidR="0034634B" w:rsidRDefault="0034634B">
      <w:pPr>
        <w:pStyle w:val="ad"/>
        <w:jc w:val="left"/>
        <w:rPr>
          <w:rFonts w:asciiTheme="minorHAnsi" w:hAnsiTheme="minorHAnsi" w:cstheme="minorHAnsi"/>
          <w:sz w:val="16"/>
          <w:szCs w:val="16"/>
        </w:rPr>
      </w:pPr>
      <w:r>
        <w:rPr>
          <w:rStyle w:val="ae"/>
          <w:rFonts w:asciiTheme="minorHAnsi" w:hAnsiTheme="minorHAnsi" w:cstheme="minorHAnsi"/>
          <w:sz w:val="16"/>
        </w:rPr>
        <w:footnoteRef/>
      </w:r>
      <w:r>
        <w:rPr>
          <w:rFonts w:asciiTheme="minorHAnsi" w:hAnsiTheme="minorHAnsi" w:cstheme="minorHAnsi"/>
          <w:sz w:val="16"/>
        </w:rPr>
        <w:t xml:space="preserve"> </w:t>
      </w:r>
      <w:hyperlink r:id="rId143">
        <w:r>
          <w:rPr>
            <w:rStyle w:val="-"/>
            <w:rFonts w:asciiTheme="minorHAnsi" w:hAnsiTheme="minorHAnsi" w:cstheme="minorHAnsi"/>
            <w:sz w:val="16"/>
          </w:rPr>
          <w:t>Σύμβαση για το διεθνές εμπόριο ειδών της άγριας πανίδας και χλωρίδας που απειλούνται με εξαφάνιση (CITES)</w:t>
        </w:r>
      </w:hyperlink>
      <w:r>
        <w:rPr>
          <w:rFonts w:asciiTheme="minorHAnsi" w:hAnsiTheme="minorHAnsi" w:cstheme="minorHAnsi"/>
          <w:sz w:val="16"/>
        </w:rPr>
        <w:t>.</w:t>
      </w:r>
    </w:p>
  </w:footnote>
  <w:footnote w:id="166">
    <w:p w:rsidR="0034634B" w:rsidRDefault="0034634B">
      <w:pPr>
        <w:pStyle w:val="ad"/>
        <w:jc w:val="left"/>
        <w:rPr>
          <w:rFonts w:asciiTheme="minorHAnsi" w:eastAsiaTheme="minorEastAsia" w:hAnsiTheme="minorHAnsi" w:cstheme="minorHAnsi"/>
          <w:sz w:val="16"/>
          <w:szCs w:val="16"/>
        </w:rPr>
      </w:pPr>
      <w:r>
        <w:rPr>
          <w:rStyle w:val="ae"/>
          <w:rFonts w:asciiTheme="minorHAnsi" w:eastAsiaTheme="minorEastAsia" w:hAnsiTheme="minorHAnsi" w:cstheme="minorHAnsi"/>
          <w:sz w:val="16"/>
        </w:rPr>
        <w:footnoteRef/>
      </w:r>
      <w:r>
        <w:rPr>
          <w:rFonts w:asciiTheme="minorHAnsi" w:eastAsiaTheme="minorEastAsia" w:hAnsiTheme="minorHAnsi" w:cstheme="minorHAnsi"/>
          <w:sz w:val="16"/>
        </w:rPr>
        <w:t xml:space="preserve"> </w:t>
      </w:r>
      <w:r>
        <w:rPr>
          <w:rStyle w:val="af2"/>
          <w:rFonts w:asciiTheme="minorHAnsi" w:eastAsiaTheme="minorEastAsia" w:hAnsiTheme="minorHAnsi" w:cstheme="minorHAnsi"/>
          <w:color w:val="auto"/>
          <w:sz w:val="16"/>
        </w:rPr>
        <w:t>Κανονισμός (ΕΚ) αριθ. 338/97 του Συμβουλίου</w:t>
      </w:r>
      <w:r>
        <w:rPr>
          <w:rFonts w:asciiTheme="minorHAnsi" w:eastAsiaTheme="minorEastAsia" w:hAnsiTheme="minorHAnsi" w:cstheme="minorHAnsi"/>
          <w:sz w:val="16"/>
        </w:rPr>
        <w:t xml:space="preserve"> </w:t>
      </w:r>
      <w:r>
        <w:rPr>
          <w:rStyle w:val="af2"/>
          <w:rFonts w:asciiTheme="minorHAnsi" w:eastAsiaTheme="minorEastAsia" w:hAnsiTheme="minorHAnsi" w:cstheme="minorHAnsi"/>
          <w:color w:val="auto"/>
          <w:sz w:val="16"/>
        </w:rPr>
        <w:t>για την προστασία των ειδών άγριας πανίδας και χλωρίδας με τον έλεγχο του εμπορίου τους</w:t>
      </w:r>
      <w:r>
        <w:rPr>
          <w:rFonts w:asciiTheme="minorHAnsi" w:eastAsiaTheme="minorEastAsia" w:hAnsiTheme="minorHAnsi" w:cstheme="minorHAnsi"/>
          <w:sz w:val="16"/>
        </w:rPr>
        <w:t>.</w:t>
      </w:r>
    </w:p>
  </w:footnote>
  <w:footnote w:id="167">
    <w:p w:rsidR="0034634B" w:rsidRDefault="0034634B">
      <w:pPr>
        <w:pStyle w:val="ad"/>
        <w:jc w:val="left"/>
        <w:rPr>
          <w:rFonts w:asciiTheme="minorHAnsi" w:hAnsiTheme="minorHAnsi" w:cstheme="minorHAnsi"/>
          <w:color w:val="0000FF"/>
          <w:sz w:val="16"/>
          <w:szCs w:val="16"/>
          <w:u w:val="single"/>
        </w:rPr>
      </w:pPr>
      <w:r>
        <w:rPr>
          <w:rStyle w:val="ae"/>
          <w:rFonts w:asciiTheme="minorHAnsi" w:hAnsiTheme="minorHAnsi" w:cstheme="minorHAnsi"/>
          <w:sz w:val="16"/>
        </w:rPr>
        <w:footnoteRef/>
      </w:r>
      <w:r>
        <w:rPr>
          <w:rFonts w:asciiTheme="minorHAnsi" w:hAnsiTheme="minorHAnsi" w:cstheme="minorHAnsi"/>
          <w:sz w:val="16"/>
        </w:rPr>
        <w:t xml:space="preserve">Ελληνική Δημοκρατία, </w:t>
      </w:r>
      <w:hyperlink r:id="rId144">
        <w:r>
          <w:rPr>
            <w:rStyle w:val="-"/>
            <w:rFonts w:asciiTheme="minorHAnsi" w:hAnsiTheme="minorHAnsi" w:cstheme="minorHAnsi"/>
            <w:sz w:val="16"/>
          </w:rPr>
          <w:t>National review on the implementation of the 2030 agenda for sustainable development</w:t>
        </w:r>
      </w:hyperlink>
      <w:r>
        <w:t xml:space="preserve"> </w:t>
      </w:r>
      <w:r>
        <w:rPr>
          <w:rFonts w:asciiTheme="minorHAnsi" w:hAnsiTheme="minorHAnsi" w:cstheme="minorHAnsi"/>
          <w:sz w:val="16"/>
        </w:rPr>
        <w:t xml:space="preserve">(Εθνική αξιολόγηση για την υλοποίηση της ατζέντας 2030 για τη βιώσιμη ανάπτυξη)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11C2" w:rsidRPr="00B411C2" w:rsidRDefault="00B411C2" w:rsidP="00B411C2">
    <w:pPr>
      <w:pStyle w:val="a6"/>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6"/>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spacing w:after="240"/>
      <w:jc w:val="center"/>
    </w:pPr>
    <w:r>
      <w:t>Επισκόπηση της εφαρμογής της περιβαλλοντικής πολιτικής 2019 – Ελλάδα</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410"/>
      <w:gridCol w:w="1152"/>
    </w:tblGrid>
    <w:tr w:rsidR="0034634B">
      <w:tc>
        <w:tcPr>
          <w:tcW w:w="0" w:type="auto"/>
          <w:tcBorders>
            <w:top w:val="nil"/>
            <w:left w:val="nil"/>
            <w:bottom w:val="nil"/>
            <w:right w:val="single" w:sz="6" w:space="0" w:color="000000" w:themeColor="text1"/>
          </w:tcBorders>
        </w:tcPr>
        <w:p w:rsidR="0034634B" w:rsidRDefault="0034634B">
          <w:pPr>
            <w:pStyle w:val="a6"/>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34634B" w:rsidRDefault="0034634B">
          <w:pPr>
            <w:pStyle w:val="a6"/>
            <w:spacing w:line="276" w:lineRule="auto"/>
            <w:rPr>
              <w:rFonts w:cstheme="minorHAnsi"/>
              <w:b/>
              <w:bCs/>
              <w:color w:val="1F497D" w:themeColor="text2"/>
            </w:rPr>
          </w:pPr>
        </w:p>
      </w:tc>
    </w:tr>
  </w:tbl>
  <w:p w:rsidR="0034634B" w:rsidRDefault="0034634B">
    <w:pPr>
      <w:pStyle w:val="a6"/>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6"/>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410"/>
      <w:gridCol w:w="1152"/>
    </w:tblGrid>
    <w:tr w:rsidR="0034634B">
      <w:tc>
        <w:tcPr>
          <w:tcW w:w="0" w:type="auto"/>
          <w:tcBorders>
            <w:top w:val="nil"/>
            <w:left w:val="nil"/>
            <w:bottom w:val="nil"/>
            <w:right w:val="single" w:sz="6" w:space="0" w:color="000000" w:themeColor="text1"/>
          </w:tcBorders>
          <w:hideMark/>
        </w:tcPr>
        <w:p w:rsidR="0034634B" w:rsidRDefault="0034634B">
          <w:pPr>
            <w:pStyle w:val="a6"/>
            <w:spacing w:line="276" w:lineRule="auto"/>
            <w:jc w:val="right"/>
            <w:rPr>
              <w:rFonts w:eastAsiaTheme="minorEastAsia"/>
              <w:b/>
              <w:bCs/>
              <w:color w:val="1F497D" w:themeColor="text2"/>
            </w:rPr>
          </w:pPr>
          <w:r>
            <w:rPr>
              <w:rFonts w:eastAsiaTheme="minorEastAsia"/>
              <w:b/>
              <w:color w:val="1F497D" w:themeColor="text2"/>
            </w:rPr>
            <w:t>Ελλάδα</w:t>
          </w:r>
        </w:p>
      </w:tc>
      <w:tc>
        <w:tcPr>
          <w:tcW w:w="1152" w:type="dxa"/>
          <w:tcBorders>
            <w:top w:val="nil"/>
            <w:left w:val="single" w:sz="6" w:space="0" w:color="000000" w:themeColor="text1"/>
            <w:bottom w:val="nil"/>
            <w:right w:val="nil"/>
          </w:tcBorders>
          <w:hideMark/>
        </w:tcPr>
        <w:p w:rsidR="0034634B" w:rsidRDefault="0034634B">
          <w:pPr>
            <w:pStyle w:val="a6"/>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sidR="00C06F7C">
            <w:rPr>
              <w:rFonts w:cstheme="minorHAnsi"/>
              <w:b/>
              <w:bCs/>
              <w:noProof/>
              <w:color w:val="1F497D" w:themeColor="text2"/>
              <w:sz w:val="28"/>
            </w:rPr>
            <w:t>5</w:t>
          </w:r>
          <w:r>
            <w:rPr>
              <w:rFonts w:cstheme="minorHAnsi"/>
              <w:b/>
              <w:bCs/>
              <w:color w:val="1F497D" w:themeColor="text2"/>
              <w:sz w:val="28"/>
            </w:rPr>
            <w:fldChar w:fldCharType="end"/>
          </w:r>
        </w:p>
      </w:tc>
    </w:tr>
  </w:tbl>
  <w:p w:rsidR="0034634B" w:rsidRDefault="0034634B">
    <w:pPr>
      <w:pStyle w:val="a6"/>
      <w:rPr>
        <w:color w:val="1F497D" w:themeColor="text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410"/>
      <w:gridCol w:w="1152"/>
    </w:tblGrid>
    <w:tr w:rsidR="0034634B">
      <w:tc>
        <w:tcPr>
          <w:tcW w:w="0" w:type="auto"/>
          <w:tcBorders>
            <w:top w:val="nil"/>
            <w:left w:val="nil"/>
            <w:bottom w:val="nil"/>
            <w:right w:val="single" w:sz="6" w:space="0" w:color="000000" w:themeColor="text1"/>
          </w:tcBorders>
        </w:tcPr>
        <w:p w:rsidR="0034634B" w:rsidRDefault="0034634B">
          <w:pPr>
            <w:pStyle w:val="a6"/>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34634B" w:rsidRDefault="0034634B">
          <w:pPr>
            <w:pStyle w:val="a6"/>
            <w:spacing w:line="276" w:lineRule="auto"/>
            <w:rPr>
              <w:rFonts w:cstheme="minorHAnsi"/>
              <w:b/>
              <w:bCs/>
              <w:color w:val="1F497D" w:themeColor="text2"/>
            </w:rPr>
          </w:pPr>
        </w:p>
      </w:tc>
    </w:tr>
  </w:tbl>
  <w:p w:rsidR="0034634B" w:rsidRDefault="0034634B">
    <w:pPr>
      <w:pStyle w:val="a6"/>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6"/>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34634B">
      <w:tc>
        <w:tcPr>
          <w:tcW w:w="0" w:type="auto"/>
          <w:tcBorders>
            <w:top w:val="nil"/>
            <w:left w:val="nil"/>
            <w:bottom w:val="nil"/>
            <w:right w:val="single" w:sz="6" w:space="0" w:color="000000" w:themeColor="text1"/>
          </w:tcBorders>
          <w:hideMark/>
        </w:tcPr>
        <w:p w:rsidR="0034634B" w:rsidRDefault="0034634B">
          <w:pPr>
            <w:pStyle w:val="a6"/>
            <w:spacing w:line="276" w:lineRule="auto"/>
            <w:jc w:val="right"/>
            <w:rPr>
              <w:rFonts w:asciiTheme="minorHAnsi" w:eastAsiaTheme="minorEastAsia" w:hAnsiTheme="minorHAnsi" w:cstheme="minorBidi"/>
              <w:b/>
              <w:bCs/>
              <w:color w:val="1F497D" w:themeColor="text2"/>
            </w:rPr>
          </w:pPr>
          <w:r>
            <w:rPr>
              <w:rFonts w:asciiTheme="minorHAnsi" w:eastAsiaTheme="minorEastAsia" w:hAnsiTheme="minorHAnsi" w:cstheme="minorBidi"/>
              <w:b/>
              <w:color w:val="1F497D" w:themeColor="text2"/>
            </w:rPr>
            <w:t>Ελλάδα</w:t>
          </w:r>
        </w:p>
      </w:tc>
      <w:tc>
        <w:tcPr>
          <w:tcW w:w="1152" w:type="dxa"/>
          <w:tcBorders>
            <w:top w:val="nil"/>
            <w:left w:val="single" w:sz="6" w:space="0" w:color="000000" w:themeColor="text1"/>
            <w:bottom w:val="nil"/>
            <w:right w:val="nil"/>
          </w:tcBorders>
          <w:hideMark/>
        </w:tcPr>
        <w:p w:rsidR="0034634B" w:rsidRDefault="0034634B">
          <w:pPr>
            <w:pStyle w:val="a6"/>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w:t>
          </w:r>
          <w:r>
            <w:rPr>
              <w:rFonts w:cstheme="minorHAnsi"/>
              <w:b/>
              <w:bCs/>
              <w:color w:val="1F497D" w:themeColor="text2"/>
              <w:sz w:val="28"/>
            </w:rPr>
            <w:fldChar w:fldCharType="end"/>
          </w:r>
        </w:p>
      </w:tc>
    </w:tr>
  </w:tbl>
  <w:p w:rsidR="0034634B" w:rsidRDefault="0034634B">
    <w:pPr>
      <w:pStyle w:val="a6"/>
      <w:rPr>
        <w:color w:val="1F497D" w:themeColor="text2"/>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410"/>
      <w:gridCol w:w="1152"/>
    </w:tblGrid>
    <w:tr w:rsidR="0034634B">
      <w:tc>
        <w:tcPr>
          <w:tcW w:w="0" w:type="auto"/>
          <w:tcBorders>
            <w:top w:val="nil"/>
            <w:left w:val="nil"/>
            <w:bottom w:val="nil"/>
            <w:right w:val="single" w:sz="6" w:space="0" w:color="000000" w:themeColor="text1"/>
          </w:tcBorders>
        </w:tcPr>
        <w:p w:rsidR="0034634B" w:rsidRDefault="0034634B">
          <w:pPr>
            <w:pStyle w:val="a6"/>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34634B" w:rsidRDefault="0034634B">
          <w:pPr>
            <w:pStyle w:val="a6"/>
            <w:spacing w:line="276" w:lineRule="auto"/>
            <w:rPr>
              <w:rFonts w:cstheme="minorHAnsi"/>
              <w:b/>
              <w:bCs/>
              <w:color w:val="1F497D" w:themeColor="text2"/>
            </w:rPr>
          </w:pPr>
        </w:p>
      </w:tc>
    </w:tr>
  </w:tbl>
  <w:p w:rsidR="0034634B" w:rsidRDefault="0034634B">
    <w:pPr>
      <w:pStyle w:val="a6"/>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11C2" w:rsidRPr="00B411C2" w:rsidRDefault="00B411C2" w:rsidP="00B411C2">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spacing w:after="240"/>
      <w:jc w:val="center"/>
    </w:pPr>
    <w:r>
      <w:t>Επισκόπηση της εφαρμογής της περιβαλλοντικής πολιτικής 2019 – Ελλάδα</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34634B">
      <w:tc>
        <w:tcPr>
          <w:tcW w:w="0" w:type="auto"/>
          <w:tcBorders>
            <w:top w:val="nil"/>
            <w:left w:val="nil"/>
            <w:bottom w:val="nil"/>
            <w:right w:val="single" w:sz="6" w:space="0" w:color="000000" w:themeColor="text1"/>
          </w:tcBorders>
        </w:tcPr>
        <w:p w:rsidR="0034634B" w:rsidRDefault="0034634B">
          <w:pPr>
            <w:pStyle w:val="a6"/>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34634B" w:rsidRDefault="0034634B">
          <w:pPr>
            <w:pStyle w:val="a6"/>
            <w:spacing w:line="276" w:lineRule="auto"/>
            <w:rPr>
              <w:rFonts w:cstheme="minorHAnsi"/>
              <w:b/>
              <w:bCs/>
              <w:color w:val="1F497D" w:themeColor="text2"/>
            </w:rPr>
          </w:pPr>
        </w:p>
      </w:tc>
    </w:tr>
  </w:tbl>
  <w:p w:rsidR="0034634B" w:rsidRDefault="0034634B">
    <w:pPr>
      <w:pStyle w:val="a6"/>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6"/>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34634B">
      <w:tc>
        <w:tcPr>
          <w:tcW w:w="0" w:type="auto"/>
          <w:tcBorders>
            <w:top w:val="nil"/>
            <w:left w:val="nil"/>
            <w:bottom w:val="nil"/>
            <w:right w:val="single" w:sz="6" w:space="0" w:color="000000" w:themeColor="text1"/>
          </w:tcBorders>
          <w:hideMark/>
        </w:tcPr>
        <w:p w:rsidR="0034634B" w:rsidRDefault="0034634B">
          <w:pPr>
            <w:pStyle w:val="a6"/>
            <w:spacing w:line="276" w:lineRule="auto"/>
            <w:jc w:val="right"/>
            <w:rPr>
              <w:rFonts w:asciiTheme="minorHAnsi" w:eastAsiaTheme="minorEastAsia" w:hAnsiTheme="minorHAnsi" w:cstheme="minorBidi"/>
              <w:b/>
              <w:bCs/>
              <w:color w:val="1F497D" w:themeColor="text2"/>
            </w:rPr>
          </w:pPr>
          <w:r>
            <w:rPr>
              <w:rFonts w:asciiTheme="minorHAnsi" w:eastAsiaTheme="minorEastAsia" w:hAnsiTheme="minorHAnsi" w:cstheme="minorBidi"/>
              <w:b/>
              <w:color w:val="1F497D" w:themeColor="text2"/>
            </w:rPr>
            <w:t>Ελλάδα</w:t>
          </w:r>
        </w:p>
      </w:tc>
      <w:tc>
        <w:tcPr>
          <w:tcW w:w="1152" w:type="dxa"/>
          <w:tcBorders>
            <w:top w:val="nil"/>
            <w:left w:val="single" w:sz="6" w:space="0" w:color="000000" w:themeColor="text1"/>
            <w:bottom w:val="nil"/>
            <w:right w:val="nil"/>
          </w:tcBorders>
          <w:hideMark/>
        </w:tcPr>
        <w:p w:rsidR="0034634B" w:rsidRDefault="0034634B">
          <w:pPr>
            <w:pStyle w:val="a6"/>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5</w:t>
          </w:r>
          <w:r>
            <w:rPr>
              <w:rFonts w:cstheme="minorHAnsi"/>
              <w:b/>
              <w:bCs/>
              <w:color w:val="1F497D" w:themeColor="text2"/>
              <w:sz w:val="28"/>
            </w:rPr>
            <w:fldChar w:fldCharType="end"/>
          </w:r>
        </w:p>
      </w:tc>
    </w:tr>
  </w:tbl>
  <w:p w:rsidR="0034634B" w:rsidRDefault="0034634B">
    <w:pPr>
      <w:pStyle w:val="a6"/>
      <w:rPr>
        <w:color w:val="1F497D" w:themeColor="text2"/>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34634B">
      <w:tc>
        <w:tcPr>
          <w:tcW w:w="0" w:type="auto"/>
          <w:tcBorders>
            <w:top w:val="nil"/>
            <w:left w:val="nil"/>
            <w:bottom w:val="nil"/>
            <w:right w:val="single" w:sz="6" w:space="0" w:color="000000" w:themeColor="text1"/>
          </w:tcBorders>
        </w:tcPr>
        <w:p w:rsidR="0034634B" w:rsidRDefault="0034634B">
          <w:pPr>
            <w:pStyle w:val="a6"/>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34634B" w:rsidRDefault="0034634B">
          <w:pPr>
            <w:pStyle w:val="a6"/>
            <w:spacing w:line="276" w:lineRule="auto"/>
            <w:rPr>
              <w:rFonts w:cstheme="minorHAnsi"/>
              <w:b/>
              <w:bCs/>
              <w:color w:val="1F497D" w:themeColor="text2"/>
            </w:rPr>
          </w:pPr>
        </w:p>
      </w:tc>
    </w:tr>
  </w:tbl>
  <w:p w:rsidR="0034634B" w:rsidRDefault="0034634B">
    <w:pPr>
      <w:pStyle w:val="a6"/>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6"/>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spacing w:after="240"/>
      <w:jc w:val="center"/>
    </w:pPr>
    <w:r>
      <w:t>Επισκόπηση της εφαρμογής της περιβαλλοντικής πολιτικής 2019 – Ελλάδα</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34634B">
      <w:tc>
        <w:tcPr>
          <w:tcW w:w="0" w:type="auto"/>
          <w:tcBorders>
            <w:top w:val="nil"/>
            <w:left w:val="nil"/>
            <w:bottom w:val="nil"/>
            <w:right w:val="single" w:sz="6" w:space="0" w:color="000000" w:themeColor="text1"/>
          </w:tcBorders>
        </w:tcPr>
        <w:p w:rsidR="0034634B" w:rsidRDefault="0034634B">
          <w:pPr>
            <w:pStyle w:val="a6"/>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34634B" w:rsidRDefault="0034634B">
          <w:pPr>
            <w:pStyle w:val="a6"/>
            <w:spacing w:line="276" w:lineRule="auto"/>
            <w:rPr>
              <w:rFonts w:cstheme="minorHAnsi"/>
              <w:b/>
              <w:bCs/>
              <w:color w:val="1F497D" w:themeColor="text2"/>
            </w:rPr>
          </w:pPr>
        </w:p>
      </w:tc>
    </w:tr>
  </w:tbl>
  <w:p w:rsidR="0034634B" w:rsidRDefault="0034634B">
    <w:pPr>
      <w:pStyle w:val="a6"/>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6"/>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spacing w:after="240"/>
      <w:jc w:val="center"/>
    </w:pPr>
    <w:r>
      <w:t>Επισκόπηση της εφαρμογής της περιβαλλοντικής πολιτικής 2019 – Ελλάδα</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11C2" w:rsidRPr="00B411C2" w:rsidRDefault="00B411C2" w:rsidP="00B411C2">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34634B">
      <w:tc>
        <w:tcPr>
          <w:tcW w:w="0" w:type="auto"/>
          <w:tcBorders>
            <w:top w:val="nil"/>
            <w:left w:val="nil"/>
            <w:bottom w:val="nil"/>
            <w:right w:val="single" w:sz="6" w:space="0" w:color="000000" w:themeColor="text1"/>
          </w:tcBorders>
        </w:tcPr>
        <w:p w:rsidR="0034634B" w:rsidRDefault="0034634B">
          <w:pPr>
            <w:pStyle w:val="a6"/>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34634B" w:rsidRDefault="0034634B">
          <w:pPr>
            <w:pStyle w:val="a6"/>
            <w:spacing w:line="276" w:lineRule="auto"/>
            <w:rPr>
              <w:rFonts w:cstheme="minorHAnsi"/>
              <w:b/>
              <w:bCs/>
              <w:color w:val="1F497D" w:themeColor="text2"/>
            </w:rPr>
          </w:pPr>
        </w:p>
      </w:tc>
    </w:tr>
  </w:tbl>
  <w:p w:rsidR="0034634B" w:rsidRDefault="0034634B">
    <w:pPr>
      <w:pStyle w:val="a6"/>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6"/>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spacing w:after="240"/>
      <w:jc w:val="center"/>
    </w:pPr>
    <w:r>
      <w:t>Επισκόπηση της εφαρμογής της περιβαλλοντικής πολιτικής 2019 – Ελλάδα</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34634B">
      <w:tc>
        <w:tcPr>
          <w:tcW w:w="0" w:type="auto"/>
          <w:tcBorders>
            <w:top w:val="nil"/>
            <w:left w:val="nil"/>
            <w:bottom w:val="nil"/>
            <w:right w:val="single" w:sz="6" w:space="0" w:color="000000" w:themeColor="text1"/>
          </w:tcBorders>
        </w:tcPr>
        <w:p w:rsidR="0034634B" w:rsidRDefault="0034634B">
          <w:pPr>
            <w:pStyle w:val="a6"/>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34634B" w:rsidRDefault="0034634B">
          <w:pPr>
            <w:pStyle w:val="a6"/>
            <w:spacing w:line="276" w:lineRule="auto"/>
            <w:rPr>
              <w:rFonts w:cstheme="minorHAnsi"/>
              <w:b/>
              <w:bCs/>
              <w:color w:val="1F497D" w:themeColor="text2"/>
            </w:rPr>
          </w:pPr>
        </w:p>
      </w:tc>
    </w:tr>
  </w:tbl>
  <w:p w:rsidR="0034634B" w:rsidRDefault="0034634B">
    <w:pPr>
      <w:pStyle w:val="a6"/>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6"/>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34634B">
      <w:tc>
        <w:tcPr>
          <w:tcW w:w="0" w:type="auto"/>
          <w:tcBorders>
            <w:top w:val="nil"/>
            <w:left w:val="nil"/>
            <w:bottom w:val="nil"/>
            <w:right w:val="single" w:sz="6" w:space="0" w:color="000000" w:themeColor="text1"/>
          </w:tcBorders>
          <w:hideMark/>
        </w:tcPr>
        <w:p w:rsidR="0034634B" w:rsidRDefault="0034634B">
          <w:pPr>
            <w:pStyle w:val="a6"/>
            <w:spacing w:line="276" w:lineRule="auto"/>
            <w:jc w:val="right"/>
            <w:rPr>
              <w:rFonts w:asciiTheme="minorHAnsi" w:eastAsiaTheme="minorEastAsia" w:hAnsiTheme="minorHAnsi" w:cstheme="minorBidi"/>
              <w:b/>
              <w:bCs/>
              <w:color w:val="1F497D" w:themeColor="text2"/>
            </w:rPr>
          </w:pPr>
          <w:r>
            <w:rPr>
              <w:rFonts w:asciiTheme="minorHAnsi" w:eastAsiaTheme="minorEastAsia" w:hAnsiTheme="minorHAnsi" w:cstheme="minorBidi"/>
              <w:b/>
              <w:color w:val="1F497D" w:themeColor="text2"/>
            </w:rPr>
            <w:t>Ελλάδα</w:t>
          </w:r>
        </w:p>
      </w:tc>
      <w:tc>
        <w:tcPr>
          <w:tcW w:w="1152" w:type="dxa"/>
          <w:tcBorders>
            <w:top w:val="nil"/>
            <w:left w:val="single" w:sz="6" w:space="0" w:color="000000" w:themeColor="text1"/>
            <w:bottom w:val="nil"/>
            <w:right w:val="nil"/>
          </w:tcBorders>
          <w:hideMark/>
        </w:tcPr>
        <w:p w:rsidR="0034634B" w:rsidRDefault="0034634B">
          <w:pPr>
            <w:pStyle w:val="a6"/>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22</w:t>
          </w:r>
          <w:r>
            <w:rPr>
              <w:rFonts w:cstheme="minorHAnsi"/>
              <w:b/>
              <w:bCs/>
              <w:color w:val="1F497D" w:themeColor="text2"/>
              <w:sz w:val="28"/>
            </w:rPr>
            <w:fldChar w:fldCharType="end"/>
          </w:r>
        </w:p>
      </w:tc>
    </w:tr>
  </w:tbl>
  <w:p w:rsidR="0034634B" w:rsidRDefault="0034634B">
    <w:pPr>
      <w:pStyle w:val="a6"/>
      <w:rPr>
        <w:color w:val="1F497D" w:themeColor="text2"/>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34634B">
      <w:tc>
        <w:tcPr>
          <w:tcW w:w="0" w:type="auto"/>
          <w:tcBorders>
            <w:top w:val="nil"/>
            <w:left w:val="nil"/>
            <w:bottom w:val="nil"/>
            <w:right w:val="single" w:sz="6" w:space="0" w:color="000000" w:themeColor="text1"/>
          </w:tcBorders>
        </w:tcPr>
        <w:p w:rsidR="0034634B" w:rsidRDefault="0034634B">
          <w:pPr>
            <w:pStyle w:val="a6"/>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34634B" w:rsidRDefault="0034634B">
          <w:pPr>
            <w:pStyle w:val="a6"/>
            <w:spacing w:line="276" w:lineRule="auto"/>
            <w:rPr>
              <w:rFonts w:cstheme="minorHAnsi"/>
              <w:b/>
              <w:bCs/>
              <w:color w:val="1F497D" w:themeColor="text2"/>
            </w:rPr>
          </w:pPr>
        </w:p>
      </w:tc>
    </w:tr>
  </w:tbl>
  <w:p w:rsidR="0034634B" w:rsidRDefault="0034634B">
    <w:pPr>
      <w:pStyle w:val="a6"/>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6"/>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spacing w:after="240"/>
      <w:jc w:val="center"/>
    </w:pPr>
    <w:r>
      <w:t>Επισκόπηση της εφαρμογής της περιβαλλοντικής πολιτικής 2019 – Ελλάδα</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34634B">
      <w:tc>
        <w:tcPr>
          <w:tcW w:w="0" w:type="auto"/>
          <w:tcBorders>
            <w:top w:val="nil"/>
            <w:left w:val="nil"/>
            <w:bottom w:val="nil"/>
            <w:right w:val="single" w:sz="6" w:space="0" w:color="000000" w:themeColor="text1"/>
          </w:tcBorders>
        </w:tcPr>
        <w:p w:rsidR="0034634B" w:rsidRDefault="0034634B">
          <w:pPr>
            <w:pStyle w:val="a6"/>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34634B" w:rsidRDefault="0034634B">
          <w:pPr>
            <w:pStyle w:val="a6"/>
            <w:spacing w:line="276" w:lineRule="auto"/>
            <w:rPr>
              <w:rFonts w:cstheme="minorHAnsi"/>
              <w:b/>
              <w:bCs/>
              <w:color w:val="1F497D" w:themeColor="text2"/>
            </w:rPr>
          </w:pPr>
        </w:p>
      </w:tc>
    </w:tr>
  </w:tbl>
  <w:p w:rsidR="0034634B" w:rsidRDefault="0034634B">
    <w:pPr>
      <w:pStyle w:val="a6"/>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6"/>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6"/>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spacing w:after="240"/>
      <w:jc w:val="center"/>
    </w:pPr>
    <w:r>
      <w:t>Επισκόπηση της εφαρμογής της περιβαλλοντικής πολιτικής 2019 – Ελλάδα</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34634B">
      <w:tc>
        <w:tcPr>
          <w:tcW w:w="0" w:type="auto"/>
          <w:tcBorders>
            <w:top w:val="nil"/>
            <w:left w:val="nil"/>
            <w:bottom w:val="nil"/>
            <w:right w:val="single" w:sz="6" w:space="0" w:color="000000" w:themeColor="text1"/>
          </w:tcBorders>
        </w:tcPr>
        <w:p w:rsidR="0034634B" w:rsidRDefault="0034634B">
          <w:pPr>
            <w:pStyle w:val="a6"/>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34634B" w:rsidRDefault="0034634B">
          <w:pPr>
            <w:pStyle w:val="a6"/>
            <w:spacing w:line="276" w:lineRule="auto"/>
            <w:rPr>
              <w:rFonts w:cstheme="minorHAnsi"/>
              <w:b/>
              <w:bCs/>
              <w:color w:val="1F497D" w:themeColor="text2"/>
            </w:rPr>
          </w:pPr>
        </w:p>
      </w:tc>
    </w:tr>
  </w:tbl>
  <w:p w:rsidR="0034634B" w:rsidRDefault="0034634B">
    <w:pPr>
      <w:pStyle w:val="a6"/>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6"/>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34634B">
      <w:tc>
        <w:tcPr>
          <w:tcW w:w="0" w:type="auto"/>
          <w:tcBorders>
            <w:top w:val="nil"/>
            <w:left w:val="nil"/>
            <w:bottom w:val="nil"/>
            <w:right w:val="single" w:sz="6" w:space="0" w:color="000000" w:themeColor="text1"/>
          </w:tcBorders>
          <w:hideMark/>
        </w:tcPr>
        <w:p w:rsidR="0034634B" w:rsidRDefault="0034634B">
          <w:pPr>
            <w:pStyle w:val="a6"/>
            <w:spacing w:line="276" w:lineRule="auto"/>
            <w:jc w:val="right"/>
            <w:rPr>
              <w:rFonts w:asciiTheme="minorHAnsi" w:eastAsiaTheme="minorEastAsia" w:hAnsiTheme="minorHAnsi" w:cstheme="minorBidi"/>
              <w:b/>
              <w:bCs/>
              <w:color w:val="1F497D" w:themeColor="text2"/>
            </w:rPr>
          </w:pPr>
          <w:r>
            <w:rPr>
              <w:rFonts w:asciiTheme="minorHAnsi" w:eastAsiaTheme="minorEastAsia" w:hAnsiTheme="minorHAnsi" w:cstheme="minorBidi"/>
              <w:b/>
              <w:color w:val="1F497D" w:themeColor="text2"/>
            </w:rPr>
            <w:t>Ελλάδα</w:t>
          </w:r>
        </w:p>
      </w:tc>
      <w:tc>
        <w:tcPr>
          <w:tcW w:w="1152" w:type="dxa"/>
          <w:tcBorders>
            <w:top w:val="nil"/>
            <w:left w:val="single" w:sz="6" w:space="0" w:color="000000" w:themeColor="text1"/>
            <w:bottom w:val="nil"/>
            <w:right w:val="nil"/>
          </w:tcBorders>
          <w:hideMark/>
        </w:tcPr>
        <w:p w:rsidR="0034634B" w:rsidRDefault="0034634B">
          <w:pPr>
            <w:pStyle w:val="a6"/>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i</w:t>
          </w:r>
          <w:r>
            <w:rPr>
              <w:rFonts w:cstheme="minorHAnsi"/>
              <w:b/>
              <w:bCs/>
              <w:color w:val="1F497D" w:themeColor="text2"/>
              <w:sz w:val="28"/>
            </w:rPr>
            <w:fldChar w:fldCharType="end"/>
          </w:r>
        </w:p>
      </w:tc>
    </w:tr>
  </w:tbl>
  <w:p w:rsidR="0034634B" w:rsidRDefault="0034634B">
    <w:pPr>
      <w:pStyle w:val="a6"/>
      <w:rPr>
        <w:color w:val="1F497D" w:themeColor="text2"/>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34634B">
      <w:tc>
        <w:tcPr>
          <w:tcW w:w="0" w:type="auto"/>
          <w:tcBorders>
            <w:top w:val="nil"/>
            <w:left w:val="nil"/>
            <w:bottom w:val="nil"/>
            <w:right w:val="single" w:sz="6" w:space="0" w:color="000000" w:themeColor="text1"/>
          </w:tcBorders>
        </w:tcPr>
        <w:p w:rsidR="0034634B" w:rsidRDefault="0034634B">
          <w:pPr>
            <w:pStyle w:val="a6"/>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34634B" w:rsidRDefault="0034634B">
          <w:pPr>
            <w:pStyle w:val="a6"/>
            <w:spacing w:line="276" w:lineRule="auto"/>
            <w:rPr>
              <w:rFonts w:cstheme="minorHAnsi"/>
              <w:b/>
              <w:bCs/>
              <w:color w:val="1F497D" w:themeColor="text2"/>
            </w:rPr>
          </w:pPr>
        </w:p>
      </w:tc>
    </w:tr>
  </w:tbl>
  <w:p w:rsidR="0034634B" w:rsidRDefault="0034634B">
    <w:pPr>
      <w:pStyle w:val="a6"/>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6"/>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spacing w:after="240"/>
      <w:jc w:val="center"/>
    </w:pPr>
    <w:r>
      <w:t>Επισκόπηση της εφαρμογής της περιβαλλοντικής πολιτικής 2019 – Ελλάδα</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34634B">
      <w:tc>
        <w:tcPr>
          <w:tcW w:w="0" w:type="auto"/>
          <w:tcBorders>
            <w:top w:val="nil"/>
            <w:left w:val="nil"/>
            <w:bottom w:val="nil"/>
            <w:right w:val="single" w:sz="6" w:space="0" w:color="000000" w:themeColor="text1"/>
          </w:tcBorders>
        </w:tcPr>
        <w:p w:rsidR="0034634B" w:rsidRDefault="0034634B">
          <w:pPr>
            <w:pStyle w:val="a6"/>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34634B" w:rsidRDefault="0034634B">
          <w:pPr>
            <w:pStyle w:val="a6"/>
            <w:spacing w:line="276" w:lineRule="auto"/>
            <w:rPr>
              <w:rFonts w:cstheme="minorHAnsi"/>
              <w:b/>
              <w:bCs/>
              <w:color w:val="1F497D" w:themeColor="text2"/>
            </w:rPr>
          </w:pPr>
        </w:p>
      </w:tc>
    </w:tr>
  </w:tbl>
  <w:p w:rsidR="0034634B" w:rsidRDefault="0034634B">
    <w:pPr>
      <w:pStyle w:val="a6"/>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6"/>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410"/>
      <w:gridCol w:w="1152"/>
    </w:tblGrid>
    <w:tr w:rsidR="0034634B">
      <w:tc>
        <w:tcPr>
          <w:tcW w:w="0" w:type="auto"/>
          <w:tcBorders>
            <w:top w:val="nil"/>
            <w:left w:val="nil"/>
            <w:bottom w:val="nil"/>
            <w:right w:val="single" w:sz="6" w:space="0" w:color="000000" w:themeColor="text1"/>
          </w:tcBorders>
          <w:hideMark/>
        </w:tcPr>
        <w:p w:rsidR="0034634B" w:rsidRDefault="0034634B">
          <w:pPr>
            <w:pStyle w:val="a6"/>
            <w:spacing w:line="276" w:lineRule="auto"/>
            <w:jc w:val="right"/>
            <w:rPr>
              <w:rFonts w:asciiTheme="minorHAnsi" w:eastAsiaTheme="minorEastAsia" w:hAnsiTheme="minorHAnsi" w:cstheme="minorBidi"/>
              <w:b/>
              <w:bCs/>
              <w:color w:val="1F497D" w:themeColor="text2"/>
            </w:rPr>
          </w:pPr>
          <w:r>
            <w:rPr>
              <w:rFonts w:asciiTheme="minorHAnsi" w:eastAsiaTheme="minorEastAsia" w:hAnsiTheme="minorHAnsi" w:cstheme="minorBidi"/>
              <w:b/>
              <w:color w:val="1F497D" w:themeColor="text2"/>
            </w:rPr>
            <w:t>Ελλάδα</w:t>
          </w:r>
        </w:p>
      </w:tc>
      <w:tc>
        <w:tcPr>
          <w:tcW w:w="1152" w:type="dxa"/>
          <w:tcBorders>
            <w:top w:val="nil"/>
            <w:left w:val="single" w:sz="6" w:space="0" w:color="000000" w:themeColor="text1"/>
            <w:bottom w:val="nil"/>
            <w:right w:val="nil"/>
          </w:tcBorders>
          <w:hideMark/>
        </w:tcPr>
        <w:p w:rsidR="0034634B" w:rsidRDefault="0034634B">
          <w:pPr>
            <w:pStyle w:val="a6"/>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w:t>
          </w:r>
          <w:r>
            <w:rPr>
              <w:rFonts w:cstheme="minorHAnsi"/>
              <w:b/>
              <w:bCs/>
              <w:color w:val="1F497D" w:themeColor="text2"/>
              <w:sz w:val="28"/>
            </w:rPr>
            <w:fldChar w:fldCharType="end"/>
          </w:r>
        </w:p>
      </w:tc>
    </w:tr>
  </w:tbl>
  <w:p w:rsidR="0034634B" w:rsidRDefault="0034634B">
    <w:pPr>
      <w:pStyle w:val="a6"/>
      <w:rPr>
        <w:color w:val="1F497D" w:themeColor="text2"/>
      </w:rP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spacing w:after="240"/>
      <w:jc w:val="center"/>
    </w:pPr>
    <w:r>
      <w:t>Επισκόπηση της εφαρμογής της περιβαλλοντικής πολιτικής 2019 – Ελλάδα</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34634B">
      <w:tc>
        <w:tcPr>
          <w:tcW w:w="0" w:type="auto"/>
          <w:tcBorders>
            <w:top w:val="nil"/>
            <w:left w:val="nil"/>
            <w:bottom w:val="nil"/>
            <w:right w:val="single" w:sz="6" w:space="0" w:color="000000" w:themeColor="text1"/>
          </w:tcBorders>
        </w:tcPr>
        <w:p w:rsidR="0034634B" w:rsidRDefault="0034634B">
          <w:pPr>
            <w:pStyle w:val="a6"/>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34634B" w:rsidRDefault="0034634B">
          <w:pPr>
            <w:pStyle w:val="a6"/>
            <w:spacing w:line="276" w:lineRule="auto"/>
            <w:rPr>
              <w:rFonts w:cstheme="minorHAnsi"/>
              <w:b/>
              <w:bCs/>
              <w:color w:val="1F497D" w:themeColor="text2"/>
            </w:rPr>
          </w:pPr>
        </w:p>
      </w:tc>
    </w:tr>
  </w:tbl>
  <w:p w:rsidR="0034634B" w:rsidRDefault="0034634B">
    <w:pPr>
      <w:pStyle w:val="a6"/>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6"/>
    </w:pPr>
  </w:p>
  <w:p w:rsidR="0034634B" w:rsidRDefault="0034634B"/>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7"/>
      <w:spacing w:after="240"/>
      <w:jc w:val="center"/>
    </w:pPr>
    <w:r>
      <w:t>Επισκόπηση της εφαρμογής της περιβαλλοντικής πολιτικής 2019 – Ελλάδα</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34634B">
      <w:tc>
        <w:tcPr>
          <w:tcW w:w="0" w:type="auto"/>
          <w:tcBorders>
            <w:top w:val="nil"/>
            <w:left w:val="nil"/>
            <w:bottom w:val="nil"/>
            <w:right w:val="single" w:sz="6" w:space="0" w:color="000000" w:themeColor="text1"/>
          </w:tcBorders>
        </w:tcPr>
        <w:p w:rsidR="0034634B" w:rsidRDefault="0034634B">
          <w:pPr>
            <w:pStyle w:val="a6"/>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34634B" w:rsidRDefault="0034634B">
          <w:pPr>
            <w:pStyle w:val="a6"/>
            <w:spacing w:line="276" w:lineRule="auto"/>
            <w:rPr>
              <w:rFonts w:cstheme="minorHAnsi"/>
              <w:b/>
              <w:bCs/>
              <w:color w:val="1F497D" w:themeColor="text2"/>
            </w:rPr>
          </w:pPr>
        </w:p>
      </w:tc>
    </w:tr>
  </w:tbl>
  <w:p w:rsidR="0034634B" w:rsidRDefault="0034634B">
    <w:pPr>
      <w:pStyle w:val="a6"/>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6"/>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6"/>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410"/>
      <w:gridCol w:w="1152"/>
    </w:tblGrid>
    <w:tr w:rsidR="0034634B">
      <w:tc>
        <w:tcPr>
          <w:tcW w:w="0" w:type="auto"/>
          <w:tcBorders>
            <w:top w:val="nil"/>
            <w:left w:val="nil"/>
            <w:bottom w:val="nil"/>
            <w:right w:val="single" w:sz="6" w:space="0" w:color="000000" w:themeColor="text1"/>
          </w:tcBorders>
          <w:hideMark/>
        </w:tcPr>
        <w:p w:rsidR="0034634B" w:rsidRDefault="0034634B">
          <w:pPr>
            <w:pStyle w:val="a6"/>
            <w:spacing w:line="276" w:lineRule="auto"/>
            <w:jc w:val="right"/>
            <w:rPr>
              <w:rFonts w:asciiTheme="minorHAnsi" w:eastAsiaTheme="minorEastAsia" w:hAnsiTheme="minorHAnsi" w:cstheme="minorBidi"/>
              <w:b/>
              <w:bCs/>
              <w:color w:val="1F497D" w:themeColor="text2"/>
            </w:rPr>
          </w:pPr>
          <w:r>
            <w:rPr>
              <w:rFonts w:asciiTheme="minorHAnsi" w:eastAsiaTheme="minorEastAsia" w:hAnsiTheme="minorHAnsi" w:cstheme="minorBidi"/>
              <w:b/>
              <w:color w:val="1F497D" w:themeColor="text2"/>
            </w:rPr>
            <w:t>Ελλάδα</w:t>
          </w:r>
        </w:p>
      </w:tc>
      <w:tc>
        <w:tcPr>
          <w:tcW w:w="1152" w:type="dxa"/>
          <w:tcBorders>
            <w:top w:val="nil"/>
            <w:left w:val="single" w:sz="6" w:space="0" w:color="000000" w:themeColor="text1"/>
            <w:bottom w:val="nil"/>
            <w:right w:val="nil"/>
          </w:tcBorders>
          <w:hideMark/>
        </w:tcPr>
        <w:p w:rsidR="0034634B" w:rsidRDefault="0034634B">
          <w:pPr>
            <w:pStyle w:val="a6"/>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3</w:t>
          </w:r>
          <w:r>
            <w:rPr>
              <w:rFonts w:cstheme="minorHAnsi"/>
              <w:b/>
              <w:bCs/>
              <w:color w:val="1F497D" w:themeColor="text2"/>
              <w:sz w:val="28"/>
            </w:rPr>
            <w:fldChar w:fldCharType="end"/>
          </w:r>
        </w:p>
      </w:tc>
    </w:tr>
  </w:tbl>
  <w:p w:rsidR="0034634B" w:rsidRDefault="0034634B">
    <w:pPr>
      <w:pStyle w:val="a6"/>
      <w:rPr>
        <w:color w:val="1F497D" w:themeColor="text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34B" w:rsidRDefault="0034634B">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A"/>
    <w:multiLevelType w:val="multilevel"/>
    <w:tmpl w:val="0000000A"/>
    <w:name w:val="WW8Num10"/>
    <w:lvl w:ilvl="0">
      <w:start w:val="1"/>
      <w:numFmt w:val="bullet"/>
      <w:lvlText w:val=""/>
      <w:lvlJc w:val="left"/>
      <w:pPr>
        <w:tabs>
          <w:tab w:val="num" w:pos="-523"/>
        </w:tabs>
        <w:ind w:left="360" w:hanging="360"/>
      </w:pPr>
      <w:rPr>
        <w:rFonts w:ascii="Wingdings" w:hAnsi="Wingdings" w:cs="Wingdings"/>
      </w:rPr>
    </w:lvl>
    <w:lvl w:ilvl="1">
      <w:start w:val="1"/>
      <w:numFmt w:val="bullet"/>
      <w:lvlText w:val="o"/>
      <w:lvlJc w:val="left"/>
      <w:pPr>
        <w:tabs>
          <w:tab w:val="num" w:pos="-523"/>
        </w:tabs>
        <w:ind w:left="1080" w:hanging="360"/>
      </w:pPr>
      <w:rPr>
        <w:rFonts w:ascii="Courier New" w:hAnsi="Courier New" w:cs="Courier New"/>
      </w:rPr>
    </w:lvl>
    <w:lvl w:ilvl="2">
      <w:start w:val="1"/>
      <w:numFmt w:val="bullet"/>
      <w:lvlText w:val=""/>
      <w:lvlJc w:val="left"/>
      <w:pPr>
        <w:tabs>
          <w:tab w:val="num" w:pos="-523"/>
        </w:tabs>
        <w:ind w:left="1800" w:hanging="360"/>
      </w:pPr>
      <w:rPr>
        <w:rFonts w:ascii="Wingdings" w:hAnsi="Wingdings" w:cs="Wingdings"/>
      </w:rPr>
    </w:lvl>
    <w:lvl w:ilvl="3">
      <w:start w:val="1"/>
      <w:numFmt w:val="bullet"/>
      <w:lvlText w:val=""/>
      <w:lvlJc w:val="left"/>
      <w:pPr>
        <w:tabs>
          <w:tab w:val="num" w:pos="-523"/>
        </w:tabs>
        <w:ind w:left="2520" w:hanging="360"/>
      </w:pPr>
      <w:rPr>
        <w:rFonts w:ascii="Symbol" w:hAnsi="Symbol" w:cs="Symbol"/>
      </w:rPr>
    </w:lvl>
    <w:lvl w:ilvl="4">
      <w:start w:val="1"/>
      <w:numFmt w:val="bullet"/>
      <w:lvlText w:val="o"/>
      <w:lvlJc w:val="left"/>
      <w:pPr>
        <w:tabs>
          <w:tab w:val="num" w:pos="-523"/>
        </w:tabs>
        <w:ind w:left="3240" w:hanging="360"/>
      </w:pPr>
      <w:rPr>
        <w:rFonts w:ascii="Courier New" w:hAnsi="Courier New" w:cs="Courier New"/>
      </w:rPr>
    </w:lvl>
    <w:lvl w:ilvl="5">
      <w:start w:val="1"/>
      <w:numFmt w:val="bullet"/>
      <w:lvlText w:val=""/>
      <w:lvlJc w:val="left"/>
      <w:pPr>
        <w:tabs>
          <w:tab w:val="num" w:pos="-523"/>
        </w:tabs>
        <w:ind w:left="3960" w:hanging="360"/>
      </w:pPr>
      <w:rPr>
        <w:rFonts w:ascii="Wingdings" w:hAnsi="Wingdings" w:cs="Wingdings"/>
      </w:rPr>
    </w:lvl>
    <w:lvl w:ilvl="6">
      <w:start w:val="1"/>
      <w:numFmt w:val="bullet"/>
      <w:lvlText w:val=""/>
      <w:lvlJc w:val="left"/>
      <w:pPr>
        <w:tabs>
          <w:tab w:val="num" w:pos="-523"/>
        </w:tabs>
        <w:ind w:left="4680" w:hanging="360"/>
      </w:pPr>
      <w:rPr>
        <w:rFonts w:ascii="Symbol" w:hAnsi="Symbol" w:cs="Symbol"/>
      </w:rPr>
    </w:lvl>
    <w:lvl w:ilvl="7">
      <w:start w:val="1"/>
      <w:numFmt w:val="bullet"/>
      <w:lvlText w:val="o"/>
      <w:lvlJc w:val="left"/>
      <w:pPr>
        <w:tabs>
          <w:tab w:val="num" w:pos="-523"/>
        </w:tabs>
        <w:ind w:left="5400" w:hanging="360"/>
      </w:pPr>
      <w:rPr>
        <w:rFonts w:ascii="Courier New" w:hAnsi="Courier New" w:cs="Courier New"/>
      </w:rPr>
    </w:lvl>
    <w:lvl w:ilvl="8">
      <w:start w:val="1"/>
      <w:numFmt w:val="bullet"/>
      <w:lvlText w:val=""/>
      <w:lvlJc w:val="left"/>
      <w:pPr>
        <w:tabs>
          <w:tab w:val="num" w:pos="-523"/>
        </w:tabs>
        <w:ind w:left="6120" w:hanging="360"/>
      </w:pPr>
      <w:rPr>
        <w:rFonts w:ascii="Wingdings" w:hAnsi="Wingdings" w:cs="Wingdings"/>
      </w:rPr>
    </w:lvl>
  </w:abstractNum>
  <w:abstractNum w:abstractNumId="1" w15:restartNumberingAfterBreak="0">
    <w:nsid w:val="055652B5"/>
    <w:multiLevelType w:val="multilevel"/>
    <w:tmpl w:val="B10A6748"/>
    <w:lvl w:ilvl="0">
      <w:start w:val="1"/>
      <w:numFmt w:val="decimal"/>
      <w:pStyle w:val="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59C5FAA"/>
    <w:multiLevelType w:val="hybridMultilevel"/>
    <w:tmpl w:val="B0EE1B8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20751B"/>
    <w:multiLevelType w:val="hybridMultilevel"/>
    <w:tmpl w:val="D0BC68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DA48B3"/>
    <w:multiLevelType w:val="hybridMultilevel"/>
    <w:tmpl w:val="7FBCD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261607"/>
    <w:multiLevelType w:val="hybridMultilevel"/>
    <w:tmpl w:val="670E0B06"/>
    <w:lvl w:ilvl="0" w:tplc="4C20F06C">
      <w:start w:val="1"/>
      <w:numFmt w:val="bullet"/>
      <w:pStyle w:val="SuggActions"/>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62685D"/>
    <w:multiLevelType w:val="singleLevel"/>
    <w:tmpl w:val="D96C95A2"/>
    <w:lvl w:ilvl="0">
      <w:start w:val="1"/>
      <w:numFmt w:val="bullet"/>
      <w:pStyle w:val="4"/>
      <w:lvlText w:val=""/>
      <w:lvlJc w:val="left"/>
      <w:pPr>
        <w:tabs>
          <w:tab w:val="num" w:pos="3163"/>
        </w:tabs>
        <w:ind w:left="3163" w:hanging="283"/>
      </w:pPr>
      <w:rPr>
        <w:rFonts w:ascii="Symbol" w:hAnsi="Symbol"/>
      </w:rPr>
    </w:lvl>
  </w:abstractNum>
  <w:abstractNum w:abstractNumId="7" w15:restartNumberingAfterBreak="0">
    <w:nsid w:val="143D0A16"/>
    <w:multiLevelType w:val="singleLevel"/>
    <w:tmpl w:val="01FA5668"/>
    <w:lvl w:ilvl="0">
      <w:start w:val="1"/>
      <w:numFmt w:val="bullet"/>
      <w:pStyle w:val="30"/>
      <w:lvlText w:val=""/>
      <w:lvlJc w:val="left"/>
      <w:pPr>
        <w:tabs>
          <w:tab w:val="num" w:pos="2199"/>
        </w:tabs>
        <w:ind w:left="2199" w:hanging="283"/>
      </w:pPr>
      <w:rPr>
        <w:rFonts w:ascii="Symbol" w:hAnsi="Symbol"/>
      </w:rPr>
    </w:lvl>
  </w:abstractNum>
  <w:abstractNum w:abstractNumId="8" w15:restartNumberingAfterBreak="0">
    <w:nsid w:val="1D2F45CD"/>
    <w:multiLevelType w:val="hybridMultilevel"/>
    <w:tmpl w:val="FC3A01F4"/>
    <w:lvl w:ilvl="0" w:tplc="4EEADE6E">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0" w15:restartNumberingAfterBreak="0">
    <w:nsid w:val="24E071BA"/>
    <w:multiLevelType w:val="hybridMultilevel"/>
    <w:tmpl w:val="5E508C0C"/>
    <w:lvl w:ilvl="0" w:tplc="E4702DAA">
      <w:numFmt w:val="bullet"/>
      <w:lvlText w:val="-"/>
      <w:lvlJc w:val="left"/>
      <w:pPr>
        <w:ind w:left="360" w:hanging="360"/>
      </w:pPr>
      <w:rPr>
        <w:rFonts w:ascii="Calibri" w:eastAsiaTheme="minorHAnsi" w:hAnsi="Calibri" w:cs="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1" w15:restartNumberingAfterBreak="0">
    <w:nsid w:val="25AF6DF2"/>
    <w:multiLevelType w:val="hybridMultilevel"/>
    <w:tmpl w:val="6D748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C8D5AD3"/>
    <w:multiLevelType w:val="singleLevel"/>
    <w:tmpl w:val="82EE6B70"/>
    <w:lvl w:ilvl="0">
      <w:start w:val="1"/>
      <w:numFmt w:val="bullet"/>
      <w:pStyle w:val="2"/>
      <w:lvlText w:val=""/>
      <w:lvlJc w:val="left"/>
      <w:pPr>
        <w:tabs>
          <w:tab w:val="num" w:pos="1360"/>
        </w:tabs>
        <w:ind w:left="1360" w:hanging="283"/>
      </w:pPr>
      <w:rPr>
        <w:rFonts w:ascii="Symbol" w:hAnsi="Symbol"/>
      </w:rPr>
    </w:lvl>
  </w:abstractNum>
  <w:abstractNum w:abstractNumId="13" w15:restartNumberingAfterBreak="0">
    <w:nsid w:val="2DD61B9B"/>
    <w:multiLevelType w:val="hybridMultilevel"/>
    <w:tmpl w:val="77AEA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9C362D"/>
    <w:multiLevelType w:val="hybridMultilevel"/>
    <w:tmpl w:val="35F66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6" w15:restartNumberingAfterBreak="0">
    <w:nsid w:val="3FAF560D"/>
    <w:multiLevelType w:val="hybridMultilevel"/>
    <w:tmpl w:val="EAA428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28415E7"/>
    <w:multiLevelType w:val="multilevel"/>
    <w:tmpl w:val="92100ADA"/>
    <w:lvl w:ilvl="0">
      <w:start w:val="1"/>
      <w:numFmt w:val="decimal"/>
      <w:pStyle w:val="a"/>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5481EA4"/>
    <w:multiLevelType w:val="multilevel"/>
    <w:tmpl w:val="28525E6E"/>
    <w:lvl w:ilvl="0">
      <w:start w:val="1"/>
      <w:numFmt w:val="decimal"/>
      <w:pStyle w:val="20"/>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8860AAB"/>
    <w:multiLevelType w:val="multilevel"/>
    <w:tmpl w:val="E8744BD2"/>
    <w:lvl w:ilvl="0">
      <w:start w:val="1"/>
      <w:numFmt w:val="decimal"/>
      <w:pStyle w:val="40"/>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8CD297C"/>
    <w:multiLevelType w:val="hybridMultilevel"/>
    <w:tmpl w:val="77521080"/>
    <w:lvl w:ilvl="0" w:tplc="8DE4F09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9EF108E"/>
    <w:multiLevelType w:val="hybridMultilevel"/>
    <w:tmpl w:val="5AD4135E"/>
    <w:lvl w:ilvl="0" w:tplc="4FA004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4BD0BEC"/>
    <w:multiLevelType w:val="singleLevel"/>
    <w:tmpl w:val="72D6F376"/>
    <w:lvl w:ilvl="0">
      <w:start w:val="1"/>
      <w:numFmt w:val="bullet"/>
      <w:pStyle w:val="a0"/>
      <w:lvlText w:val=""/>
      <w:lvlJc w:val="left"/>
      <w:pPr>
        <w:tabs>
          <w:tab w:val="num" w:pos="283"/>
        </w:tabs>
        <w:ind w:left="283" w:hanging="283"/>
      </w:pPr>
      <w:rPr>
        <w:rFonts w:ascii="Symbol" w:hAnsi="Symbol"/>
      </w:rPr>
    </w:lvl>
  </w:abstractNum>
  <w:abstractNum w:abstractNumId="24" w15:restartNumberingAfterBreak="0">
    <w:nsid w:val="58E76E55"/>
    <w:multiLevelType w:val="hybridMultilevel"/>
    <w:tmpl w:val="CE729896"/>
    <w:lvl w:ilvl="0" w:tplc="3F448E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772A67"/>
    <w:multiLevelType w:val="hybridMultilevel"/>
    <w:tmpl w:val="EC8C3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B865E2"/>
    <w:multiLevelType w:val="hybridMultilevel"/>
    <w:tmpl w:val="CBDEC300"/>
    <w:lvl w:ilvl="0" w:tplc="E4702DA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8" w15:restartNumberingAfterBreak="0">
    <w:nsid w:val="66772A77"/>
    <w:multiLevelType w:val="hybridMultilevel"/>
    <w:tmpl w:val="EAEACA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30" w15:restartNumberingAfterBreak="0">
    <w:nsid w:val="671F6F5A"/>
    <w:multiLevelType w:val="hybridMultilevel"/>
    <w:tmpl w:val="56F68486"/>
    <w:lvl w:ilvl="0" w:tplc="A56833C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2" w15:restartNumberingAfterBreak="0">
    <w:nsid w:val="6824008C"/>
    <w:multiLevelType w:val="hybridMultilevel"/>
    <w:tmpl w:val="6F74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34" w15:restartNumberingAfterBreak="0">
    <w:nsid w:val="72445F12"/>
    <w:multiLevelType w:val="hybridMultilevel"/>
    <w:tmpl w:val="F07C4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FE6922"/>
    <w:multiLevelType w:val="multilevel"/>
    <w:tmpl w:val="15A6DB8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1"/>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6" w15:restartNumberingAfterBreak="0">
    <w:nsid w:val="78595100"/>
    <w:multiLevelType w:val="hybridMultilevel"/>
    <w:tmpl w:val="49E417FE"/>
    <w:lvl w:ilvl="0" w:tplc="6068FFEA">
      <w:start w:val="1"/>
      <w:numFmt w:val="bullet"/>
      <w:pStyle w:val="a1"/>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403C56"/>
    <w:multiLevelType w:val="hybridMultilevel"/>
    <w:tmpl w:val="3D22AA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5"/>
  </w:num>
  <w:num w:numId="2">
    <w:abstractNumId w:val="23"/>
  </w:num>
  <w:num w:numId="3">
    <w:abstractNumId w:val="15"/>
  </w:num>
  <w:num w:numId="4">
    <w:abstractNumId w:val="12"/>
  </w:num>
  <w:num w:numId="5">
    <w:abstractNumId w:val="7"/>
  </w:num>
  <w:num w:numId="6">
    <w:abstractNumId w:val="6"/>
  </w:num>
  <w:num w:numId="7">
    <w:abstractNumId w:val="27"/>
  </w:num>
  <w:num w:numId="8">
    <w:abstractNumId w:val="31"/>
  </w:num>
  <w:num w:numId="9">
    <w:abstractNumId w:val="29"/>
  </w:num>
  <w:num w:numId="10">
    <w:abstractNumId w:val="33"/>
  </w:num>
  <w:num w:numId="11">
    <w:abstractNumId w:val="9"/>
  </w:num>
  <w:num w:numId="12">
    <w:abstractNumId w:val="17"/>
  </w:num>
  <w:num w:numId="13">
    <w:abstractNumId w:val="19"/>
  </w:num>
  <w:num w:numId="14">
    <w:abstractNumId w:val="18"/>
  </w:num>
  <w:num w:numId="15">
    <w:abstractNumId w:val="1"/>
  </w:num>
  <w:num w:numId="16">
    <w:abstractNumId w:val="20"/>
  </w:num>
  <w:num w:numId="17">
    <w:abstractNumId w:val="22"/>
    <w:lvlOverride w:ilvl="0">
      <w:startOverride w:val="3"/>
    </w:lvlOverride>
  </w:num>
  <w:num w:numId="18">
    <w:abstractNumId w:val="22"/>
  </w:num>
  <w:num w:numId="19">
    <w:abstractNumId w:val="10"/>
  </w:num>
  <w:num w:numId="20">
    <w:abstractNumId w:val="34"/>
  </w:num>
  <w:num w:numId="21">
    <w:abstractNumId w:val="21"/>
  </w:num>
  <w:num w:numId="22">
    <w:abstractNumId w:val="4"/>
  </w:num>
  <w:num w:numId="23">
    <w:abstractNumId w:val="24"/>
  </w:num>
  <w:num w:numId="24">
    <w:abstractNumId w:val="36"/>
  </w:num>
  <w:num w:numId="25">
    <w:abstractNumId w:val="32"/>
  </w:num>
  <w:num w:numId="26">
    <w:abstractNumId w:val="13"/>
  </w:num>
  <w:num w:numId="27">
    <w:abstractNumId w:val="14"/>
  </w:num>
  <w:num w:numId="28">
    <w:abstractNumId w:val="25"/>
  </w:num>
  <w:num w:numId="29">
    <w:abstractNumId w:val="28"/>
  </w:num>
  <w:num w:numId="30">
    <w:abstractNumId w:val="30"/>
  </w:num>
  <w:num w:numId="31">
    <w:abstractNumId w:val="8"/>
  </w:num>
  <w:num w:numId="32">
    <w:abstractNumId w:val="2"/>
  </w:num>
  <w:num w:numId="33">
    <w:abstractNumId w:val="3"/>
  </w:num>
  <w:num w:numId="34">
    <w:abstractNumId w:val="11"/>
  </w:num>
  <w:num w:numId="35">
    <w:abstractNumId w:val="37"/>
  </w:num>
  <w:num w:numId="36">
    <w:abstractNumId w:val="0"/>
  </w:num>
  <w:num w:numId="37">
    <w:abstractNumId w:val="5"/>
  </w:num>
  <w:num w:numId="38">
    <w:abstractNumId w:val="16"/>
  </w:num>
  <w:num w:numId="39">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oNotTrackFormatting/>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ACCOMPAGNANT.CP" w:val="\u960?\u959?\u965? \u963?\u965?\u957?\u959?\u948?\u949?\u973?\u949?\u953? \u964?\u959? \u941?\u947?\u947?\u961?\u945?\u966?\u959?"/>
    <w:docVar w:name="LW_CORRIGENDUM" w:val="CORRIGENDUM_x000b_This document corrects document SWD(2019) 138 final of 04.04.2019_x000b_- Page numbers of Copyright updated_x000b_- Table of contents updated_x000b_Figures 5, 9, 12, 13, 22 modified_x000b_The text shall read as follows:"/>
    <w:docVar w:name="LW_COVERPAGE_EXISTS" w:val="True"/>
    <w:docVar w:name="LW_COVERPAGE_GUID" w:val="CCF7DCCA-183A-4FCD-8686-E487B1903924"/>
    <w:docVar w:name="LW_COVERPAGE_TYPE" w:val="1"/>
    <w:docVar w:name="LW_CROSSREFERENCE" w:val="{COM(2019) 149 final} - {SWD(2019) 111 final} - {SWD(2019) 112 final} - {SWD(2019) 113 final} - {SWD(2019) 114 final} - {SWD(2019) 115 final} - {SWD(2019) 116 final} - {SWD(2019) 117 final} - {SWD(2019) 118 final} - {SWD(2019) 119 final} - {SWD(2019) 120 final} - {SWD(2019) 121 final} - {SWD(2019) 122 final} - {SWD(2019) 123 final} - {SWD(2019) 124 final} - {SWD(2019) 125 final} - {SWD(2019) 126 final} - {SWD(2019) 127 final} - {SWD(2019) 128 final} - {SWD(2019) 129 final} - {SWD(2019) 130 final} - {SWD(2019) 131 final} - {SWD(2019) 132 final} - {SWD(2019) 133 final} - {SWD(2019) 134 final} - {SWD(2019) 135 final} - {SWD(2019) 136 final} - {SWD(2019) 137 final} - {SWD(2019) 139 final}"/>
    <w:docVar w:name="LW_DocType" w:val="NORMAL"/>
    <w:docVar w:name="LW_EMISSION" w:val="31.7.2019"/>
    <w:docVar w:name="LW_EMISSION_ISODATE" w:val="2019-07-31"/>
    <w:docVar w:name="LW_EMISSION_LOCATION" w:val="BRX"/>
    <w:docVar w:name="LW_EMISSION_PREFIX" w:val="\u914?\u961?\u965?\u958?\u941?\u955?\u955?\u949?\u962?, "/>
    <w:docVar w:name="LW_EMISSION_SUFFIX" w:val=" "/>
    <w:docVar w:name="LW_ID_DOCTYPE_NONLW" w:val="CP-025"/>
    <w:docVar w:name="LW_LANGUE" w:val="EL"/>
    <w:docVar w:name="LW_LEVEL_OF_SENSITIVITY" w:val="Standard treatment"/>
    <w:docVar w:name="LW_NOM.INST" w:val="\u917?\u933?\u929?\u937?\u928?\u913?\u938?\u922?\u919? \u917?\u928?\u921?\u932?\u929?\u927?\u928?\u919?"/>
    <w:docVar w:name="LW_NOM.INST_JOINTDOC" w:val="&lt;EMPTY&gt;"/>
    <w:docVar w:name="LW_OBJETACTEPRINCIPAL.CP" w:val="\u917?\u960?\u953?\u963?\u954?\u972?\u960?\u951?\u963?\u951? \u964?\u951?\u962? \u949?\u966?\u945?\u961?\u956?\u959?\u947?\u942?\u962? \u964?\u951?\u962? \u960?\u949?\u961?\u953?\u946?\u945?\u955?\u955?\u959?\u957?\u964?\u953?\u954?\u942?\u962? \u960?\u959?\u955?\u953?\u964?\u953?\u954?\u942?\u962? 2019:_x000b_\u924?\u953?\u945? \u917?\u965?\u961?\u974?\u960?\u951? \u960?\u959?\u965? \u960?\u961?\u959?\u963?\u964?\u945?\u964?\u949?\u973?\u949?\u953? \u964?\u959?\u965?\u962? \u960?\u959?\u955?\u943?\u964?\u949?\u962? \u964?\u951?\u962? \u954?\u945?\u953? \u946?\u949?\u955?\u964?\u953?\u974?\u957?\u949?\u953? \u964?\u951?\u957? \u960?\u959?\u953?\u972?\u964?\u951?\u964?\u945? \u950?\u969?\u942?\u962? \u964?\u959?\u965?\u962?_x000b__x000b_"/>
    <w:docVar w:name="LW_PART_NBR" w:val="1"/>
    <w:docVar w:name="LW_PART_NBR_TOTAL" w:val="1"/>
    <w:docVar w:name="LW_REF.INST.NEW" w:val="SWD"/>
    <w:docVar w:name="LW_REF.INST.NEW_ADOPTED" w:val="final/2"/>
    <w:docVar w:name="LW_REF.INST.NEW_TEXT" w:val="(2019) 13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u917?\u960?\u953?\u963?\u954?\u972?\u960?\u951?\u963?\u951? \u964?\u951?\u962? \u949?\u966?\u945?\u961?\u956?\u959?\u947?\u942?\u962? \u964?\u951?\u962? \u960?\u949?\u961?\u953?\u946?\u945?\u955?\u955?\u959?\u957?\u964?\u953?\u954?\u942?\u962? \u960?\u959?\u955?\u953?\u964?\u953?\u954?\u942?\u962? \u964?\u951?\u962? \u917?\u917? 2019_x000d__x000d__x000b_\u904?\u954?\u952?\u949?\u963?\u951? \u967?\u974?\u961?\u945?\u962? - \u917?\u923?\u923?\u913?\u916?\u913?"/>
    <w:docVar w:name="LW_TYPE.DOC.CP" w:val="\u917?\u915?\u915?\u929?\u913?\u934?\u927? \u917?\u929?\u915?\u913?\u931?\u921?\u913?\u931? \u932?\u937?\u925? \u933?\u928?\u919?\u929?\u917?\u931?\u921?\u937?\u925? \u932?\u919?\u931? \u917?\u928?\u921?\u932?\u929?\u927?\u928?\u919?\u931?"/>
    <w:docVar w:name="LW_TYPEACTEPRINCIPAL.CP" w:val="\u913?\u957?\u945?\u954?\u959?\u943?\u957?\u969?\u963?\u951? \u964?\u951?\u962? \u917?\u960?\u953?\u964?\u961?\u959?\u960?\u942?\u962? \u960?\u961?\u959?\u962? \u964?\u959? \u917?\u965?\u961?\u969?\u960?\u945?\u970?\u954?\u972? \u922?\u959?\u953?\u957?\u959?\u946?\u959?\u973?\u955?\u953?\u959?, \u964?\u959? \u931?\u965?\u956?\u946?\u959?\u973?\u955?\u953?\u959?, \u964?\u951?\u957? \u917?\u965?\u961?\u969?\u960?\u945?\u970?\u954?\u942? \u927?\u953?\u954?\u959?\u957?\u959?\u956?\u953?\u954?\u942? \u954?\u945?\u953? \u922?\u959?\u953?\u957?\u969?\u957?\u953?\u954?\u942? \u917?\u960?\u953?\u964?\u961?\u959?\u960?\u942? \u954?\u945?\u953? \u964?\u951?\u957? \u917?\u960?\u953?\u964?\u961?\u959?\u960?\u942? \u964?\u969?\u957? \u928?\u949?\u961?\u953?\u966?\u949?\u961?\u949?\u953?\u974?\u957?"/>
  </w:docVars>
  <w:rsids>
    <w:rsidRoot w:val="00EE1CB7"/>
    <w:rsid w:val="0034634B"/>
    <w:rsid w:val="005040D9"/>
    <w:rsid w:val="00A503E6"/>
    <w:rsid w:val="00AA0B88"/>
    <w:rsid w:val="00B411C2"/>
    <w:rsid w:val="00C06F7C"/>
    <w:rsid w:val="00EE1C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9425BB9-FFA6-469B-B19C-6E2E587BA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l-GR" w:bidi="el-G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spacing w:after="120" w:line="240" w:lineRule="auto"/>
      <w:jc w:val="both"/>
    </w:pPr>
    <w:rPr>
      <w:sz w:val="20"/>
    </w:rPr>
  </w:style>
  <w:style w:type="paragraph" w:styleId="1">
    <w:name w:val="heading 1"/>
    <w:basedOn w:val="a2"/>
    <w:next w:val="a2"/>
    <w:link w:val="1Char"/>
    <w:autoRedefine/>
    <w:uiPriority w:val="9"/>
    <w:qFormat/>
    <w:pPr>
      <w:keepNext/>
      <w:keepLines/>
      <w:spacing w:after="0"/>
      <w:jc w:val="center"/>
      <w:outlineLvl w:val="0"/>
    </w:pPr>
    <w:rPr>
      <w:rFonts w:ascii="Calibri" w:eastAsia="Times New Roman" w:hAnsi="Calibri" w:cs="Times New Roman"/>
      <w:b/>
      <w:bCs/>
      <w:color w:val="1F497D"/>
      <w:sz w:val="32"/>
      <w:szCs w:val="28"/>
    </w:rPr>
  </w:style>
  <w:style w:type="paragraph" w:styleId="21">
    <w:name w:val="heading 2"/>
    <w:basedOn w:val="a2"/>
    <w:next w:val="a2"/>
    <w:link w:val="2Char"/>
    <w:autoRedefine/>
    <w:uiPriority w:val="9"/>
    <w:unhideWhenUsed/>
    <w:qFormat/>
    <w:pPr>
      <w:spacing w:before="240"/>
      <w:jc w:val="left"/>
      <w:outlineLvl w:val="1"/>
    </w:pPr>
    <w:rPr>
      <w:rFonts w:eastAsia="Calibri" w:cs="Times New Roman"/>
      <w:b/>
      <w:color w:val="1F497D"/>
      <w:sz w:val="24"/>
      <w:szCs w:val="24"/>
    </w:rPr>
  </w:style>
  <w:style w:type="paragraph" w:styleId="31">
    <w:name w:val="heading 3"/>
    <w:basedOn w:val="a2"/>
    <w:next w:val="a2"/>
    <w:link w:val="3Char"/>
    <w:autoRedefine/>
    <w:uiPriority w:val="9"/>
    <w:unhideWhenUsed/>
    <w:qFormat/>
    <w:pPr>
      <w:spacing w:before="240"/>
      <w:outlineLvl w:val="2"/>
    </w:pPr>
    <w:rPr>
      <w:rFonts w:ascii="Calibri" w:eastAsia="Calibri" w:hAnsi="Calibri" w:cs="Times New Roman"/>
      <w:b/>
      <w:color w:val="1F497D"/>
      <w:szCs w:val="20"/>
    </w:rPr>
  </w:style>
  <w:style w:type="paragraph" w:styleId="41">
    <w:name w:val="heading 4"/>
    <w:basedOn w:val="a2"/>
    <w:next w:val="a2"/>
    <w:link w:val="4Char"/>
    <w:uiPriority w:val="9"/>
    <w:semiHidden/>
    <w:unhideWhenUsed/>
    <w:qFormat/>
    <w:pPr>
      <w:keepNext/>
      <w:keepLines/>
      <w:numPr>
        <w:ilvl w:val="3"/>
        <w:numId w:val="1"/>
      </w:numPr>
      <w:spacing w:before="200" w:after="0"/>
      <w:outlineLvl w:val="3"/>
    </w:pPr>
    <w:rPr>
      <w:rFonts w:ascii="Cambria" w:eastAsia="Times New Roman" w:hAnsi="Cambria" w:cs="Times New Roman"/>
      <w:b/>
      <w:bCs/>
      <w:i/>
      <w:iCs/>
      <w:color w:val="4F81BD"/>
    </w:rPr>
  </w:style>
  <w:style w:type="paragraph" w:styleId="5">
    <w:name w:val="heading 5"/>
    <w:basedOn w:val="a2"/>
    <w:next w:val="a2"/>
    <w:link w:val="5Char"/>
    <w:uiPriority w:val="9"/>
    <w:semiHidden/>
    <w:unhideWhenUsed/>
    <w:qFormat/>
    <w:pPr>
      <w:keepNext/>
      <w:keepLines/>
      <w:numPr>
        <w:ilvl w:val="4"/>
        <w:numId w:val="1"/>
      </w:numPr>
      <w:spacing w:before="200" w:after="0"/>
      <w:outlineLvl w:val="4"/>
    </w:pPr>
    <w:rPr>
      <w:rFonts w:ascii="Cambria" w:eastAsia="Times New Roman" w:hAnsi="Cambria" w:cs="Times New Roman"/>
      <w:color w:val="243F60"/>
    </w:rPr>
  </w:style>
  <w:style w:type="paragraph" w:styleId="6">
    <w:name w:val="heading 6"/>
    <w:basedOn w:val="a2"/>
    <w:next w:val="a2"/>
    <w:link w:val="6Char"/>
    <w:uiPriority w:val="9"/>
    <w:semiHidden/>
    <w:unhideWhenUsed/>
    <w:qFormat/>
    <w:pPr>
      <w:keepNext/>
      <w:keepLines/>
      <w:numPr>
        <w:ilvl w:val="5"/>
        <w:numId w:val="1"/>
      </w:numPr>
      <w:spacing w:before="200" w:after="0"/>
      <w:outlineLvl w:val="5"/>
    </w:pPr>
    <w:rPr>
      <w:rFonts w:ascii="Cambria" w:eastAsia="Times New Roman" w:hAnsi="Cambria" w:cs="Times New Roman"/>
      <w:i/>
      <w:iCs/>
      <w:color w:val="243F60"/>
    </w:rPr>
  </w:style>
  <w:style w:type="paragraph" w:styleId="7">
    <w:name w:val="heading 7"/>
    <w:basedOn w:val="a2"/>
    <w:next w:val="a2"/>
    <w:link w:val="7Char"/>
    <w:uiPriority w:val="9"/>
    <w:semiHidden/>
    <w:unhideWhenUsed/>
    <w:qFormat/>
    <w:pPr>
      <w:keepNext/>
      <w:keepLines/>
      <w:numPr>
        <w:ilvl w:val="6"/>
        <w:numId w:val="1"/>
      </w:numPr>
      <w:spacing w:before="200" w:after="0"/>
      <w:outlineLvl w:val="6"/>
    </w:pPr>
    <w:rPr>
      <w:rFonts w:ascii="Cambria" w:eastAsia="Times New Roman" w:hAnsi="Cambria" w:cs="Times New Roman"/>
      <w:i/>
      <w:iCs/>
      <w:color w:val="404040"/>
    </w:rPr>
  </w:style>
  <w:style w:type="paragraph" w:styleId="8">
    <w:name w:val="heading 8"/>
    <w:basedOn w:val="a2"/>
    <w:next w:val="a2"/>
    <w:link w:val="8Char"/>
    <w:uiPriority w:val="9"/>
    <w:semiHidden/>
    <w:unhideWhenUsed/>
    <w:qFormat/>
    <w:pPr>
      <w:keepNext/>
      <w:keepLines/>
      <w:numPr>
        <w:ilvl w:val="7"/>
        <w:numId w:val="1"/>
      </w:numPr>
      <w:spacing w:before="200" w:after="0"/>
      <w:outlineLvl w:val="7"/>
    </w:pPr>
    <w:rPr>
      <w:rFonts w:ascii="Cambria" w:eastAsia="Times New Roman" w:hAnsi="Cambria" w:cs="Times New Roman"/>
      <w:color w:val="404040"/>
      <w:szCs w:val="20"/>
    </w:rPr>
  </w:style>
  <w:style w:type="paragraph" w:styleId="9">
    <w:name w:val="heading 9"/>
    <w:basedOn w:val="a2"/>
    <w:next w:val="a2"/>
    <w:link w:val="9Char"/>
    <w:uiPriority w:val="9"/>
    <w:semiHidden/>
    <w:unhideWhenUsed/>
    <w:qFormat/>
    <w:pPr>
      <w:keepNext/>
      <w:keepLines/>
      <w:numPr>
        <w:ilvl w:val="8"/>
        <w:numId w:val="1"/>
      </w:numPr>
      <w:spacing w:before="200" w:after="0"/>
      <w:outlineLvl w:val="8"/>
    </w:pPr>
    <w:rPr>
      <w:rFonts w:ascii="Cambria" w:eastAsia="Times New Roman" w:hAnsi="Cambria" w:cs="Times New Roman"/>
      <w:i/>
      <w:iCs/>
      <w:color w:val="40404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Marker">
    <w:name w:val="Marker"/>
    <w:basedOn w:val="a3"/>
    <w:rPr>
      <w:color w:val="0000FF"/>
      <w:shd w:val="clear" w:color="auto" w:fill="auto"/>
    </w:rPr>
  </w:style>
  <w:style w:type="paragraph" w:customStyle="1" w:styleId="Pagedecouverture">
    <w:name w:val="Page de couverture"/>
    <w:basedOn w:val="a2"/>
    <w:next w:val="a2"/>
    <w:pPr>
      <w:spacing w:after="0"/>
    </w:pPr>
    <w:rPr>
      <w:rFonts w:ascii="Times New Roman" w:hAnsi="Times New Roman" w:cs="Times New Roman"/>
      <w:sz w:val="24"/>
    </w:rPr>
  </w:style>
  <w:style w:type="paragraph" w:styleId="a6">
    <w:name w:val="header"/>
    <w:basedOn w:val="a2"/>
    <w:link w:val="Char"/>
    <w:uiPriority w:val="99"/>
    <w:unhideWhenUsed/>
    <w:pPr>
      <w:tabs>
        <w:tab w:val="center" w:pos="4535"/>
        <w:tab w:val="right" w:pos="9071"/>
      </w:tabs>
    </w:pPr>
    <w:rPr>
      <w:rFonts w:ascii="Times New Roman" w:hAnsi="Times New Roman" w:cs="Times New Roman"/>
      <w:sz w:val="24"/>
    </w:rPr>
  </w:style>
  <w:style w:type="character" w:customStyle="1" w:styleId="Char">
    <w:name w:val="Κεφαλίδα Char"/>
    <w:basedOn w:val="a3"/>
    <w:link w:val="a6"/>
    <w:uiPriority w:val="99"/>
    <w:rPr>
      <w:rFonts w:ascii="Times New Roman" w:hAnsi="Times New Roman" w:cs="Times New Roman"/>
      <w:sz w:val="24"/>
    </w:rPr>
  </w:style>
  <w:style w:type="paragraph" w:styleId="a7">
    <w:name w:val="footer"/>
    <w:basedOn w:val="a2"/>
    <w:link w:val="Char0"/>
    <w:uiPriority w:val="99"/>
    <w:unhideWhenUsed/>
    <w:pPr>
      <w:tabs>
        <w:tab w:val="center" w:pos="4535"/>
        <w:tab w:val="right" w:pos="9071"/>
        <w:tab w:val="right" w:pos="9921"/>
      </w:tabs>
      <w:spacing w:before="360" w:after="0"/>
      <w:ind w:left="-850" w:right="-850"/>
    </w:pPr>
    <w:rPr>
      <w:rFonts w:ascii="Times New Roman" w:hAnsi="Times New Roman" w:cs="Times New Roman"/>
      <w:sz w:val="24"/>
    </w:rPr>
  </w:style>
  <w:style w:type="character" w:customStyle="1" w:styleId="Char0">
    <w:name w:val="Υποσέλιδο Char"/>
    <w:basedOn w:val="a3"/>
    <w:link w:val="a7"/>
    <w:uiPriority w:val="99"/>
    <w:rPr>
      <w:rFonts w:ascii="Times New Roman" w:hAnsi="Times New Roman" w:cs="Times New Roman"/>
      <w:sz w:val="24"/>
    </w:rPr>
  </w:style>
  <w:style w:type="paragraph" w:customStyle="1" w:styleId="FooterCoverPage">
    <w:name w:val="Footer Cover Page"/>
    <w:basedOn w:val="a2"/>
    <w:link w:val="FooterCoverPageChar"/>
    <w:pPr>
      <w:tabs>
        <w:tab w:val="center" w:pos="4535"/>
        <w:tab w:val="right" w:pos="9071"/>
        <w:tab w:val="right" w:pos="9921"/>
      </w:tabs>
      <w:spacing w:before="360" w:after="0"/>
      <w:ind w:left="-850" w:right="-850"/>
      <w:jc w:val="left"/>
    </w:pPr>
    <w:rPr>
      <w:rFonts w:ascii="Times New Roman" w:hAnsi="Times New Roman" w:cs="Times New Roman"/>
      <w:sz w:val="24"/>
    </w:rPr>
  </w:style>
  <w:style w:type="character" w:customStyle="1" w:styleId="FooterCoverPageChar">
    <w:name w:val="Footer Cover Page Char"/>
    <w:basedOn w:val="a3"/>
    <w:link w:val="FooterCoverPage"/>
    <w:rPr>
      <w:rFonts w:ascii="Times New Roman" w:hAnsi="Times New Roman" w:cs="Times New Roman"/>
      <w:sz w:val="24"/>
    </w:rPr>
  </w:style>
  <w:style w:type="paragraph" w:customStyle="1" w:styleId="HeaderCoverPage">
    <w:name w:val="Header Cover Page"/>
    <w:basedOn w:val="a2"/>
    <w:link w:val="HeaderCoverPageChar"/>
    <w:pPr>
      <w:tabs>
        <w:tab w:val="center" w:pos="4535"/>
        <w:tab w:val="right" w:pos="9071"/>
      </w:tabs>
    </w:pPr>
    <w:rPr>
      <w:rFonts w:ascii="Times New Roman" w:hAnsi="Times New Roman" w:cs="Times New Roman"/>
      <w:sz w:val="24"/>
    </w:rPr>
  </w:style>
  <w:style w:type="character" w:customStyle="1" w:styleId="HeaderCoverPageChar">
    <w:name w:val="Header Cover Page Char"/>
    <w:basedOn w:val="a3"/>
    <w:link w:val="HeaderCoverPage"/>
    <w:rPr>
      <w:rFonts w:ascii="Times New Roman" w:hAnsi="Times New Roman" w:cs="Times New Roman"/>
      <w:sz w:val="24"/>
    </w:rPr>
  </w:style>
  <w:style w:type="character" w:customStyle="1" w:styleId="1Char">
    <w:name w:val="Επικεφαλίδα 1 Char"/>
    <w:basedOn w:val="a3"/>
    <w:link w:val="1"/>
    <w:uiPriority w:val="9"/>
    <w:rPr>
      <w:rFonts w:ascii="Calibri" w:eastAsia="Times New Roman" w:hAnsi="Calibri" w:cs="Times New Roman"/>
      <w:b/>
      <w:bCs/>
      <w:color w:val="1F497D"/>
      <w:sz w:val="32"/>
      <w:szCs w:val="28"/>
    </w:rPr>
  </w:style>
  <w:style w:type="character" w:customStyle="1" w:styleId="2Char">
    <w:name w:val="Επικεφαλίδα 2 Char"/>
    <w:basedOn w:val="a3"/>
    <w:link w:val="21"/>
    <w:uiPriority w:val="9"/>
    <w:rPr>
      <w:rFonts w:eastAsia="Calibri" w:cs="Times New Roman"/>
      <w:b/>
      <w:color w:val="1F497D"/>
      <w:sz w:val="24"/>
      <w:szCs w:val="24"/>
      <w:lang w:eastAsia="el-GR"/>
    </w:rPr>
  </w:style>
  <w:style w:type="character" w:customStyle="1" w:styleId="3Char">
    <w:name w:val="Επικεφαλίδα 3 Char"/>
    <w:basedOn w:val="a3"/>
    <w:link w:val="31"/>
    <w:uiPriority w:val="9"/>
    <w:rPr>
      <w:rFonts w:ascii="Calibri" w:eastAsia="Calibri" w:hAnsi="Calibri" w:cs="Times New Roman"/>
      <w:b/>
      <w:color w:val="1F497D"/>
      <w:sz w:val="20"/>
      <w:szCs w:val="20"/>
      <w:lang w:eastAsia="el-GR"/>
    </w:rPr>
  </w:style>
  <w:style w:type="character" w:customStyle="1" w:styleId="4Char">
    <w:name w:val="Επικεφαλίδα 4 Char"/>
    <w:basedOn w:val="a3"/>
    <w:link w:val="41"/>
    <w:uiPriority w:val="9"/>
    <w:semiHidden/>
    <w:rPr>
      <w:rFonts w:ascii="Cambria" w:eastAsia="Times New Roman" w:hAnsi="Cambria" w:cs="Times New Roman"/>
      <w:b/>
      <w:bCs/>
      <w:i/>
      <w:iCs/>
      <w:color w:val="4F81BD"/>
      <w:sz w:val="20"/>
    </w:rPr>
  </w:style>
  <w:style w:type="character" w:customStyle="1" w:styleId="5Char">
    <w:name w:val="Επικεφαλίδα 5 Char"/>
    <w:basedOn w:val="a3"/>
    <w:link w:val="5"/>
    <w:uiPriority w:val="9"/>
    <w:semiHidden/>
    <w:rPr>
      <w:rFonts w:ascii="Cambria" w:eastAsia="Times New Roman" w:hAnsi="Cambria" w:cs="Times New Roman"/>
      <w:color w:val="243F60"/>
      <w:sz w:val="20"/>
    </w:rPr>
  </w:style>
  <w:style w:type="character" w:customStyle="1" w:styleId="6Char">
    <w:name w:val="Επικεφαλίδα 6 Char"/>
    <w:basedOn w:val="a3"/>
    <w:link w:val="6"/>
    <w:uiPriority w:val="9"/>
    <w:semiHidden/>
    <w:rPr>
      <w:rFonts w:ascii="Cambria" w:eastAsia="Times New Roman" w:hAnsi="Cambria" w:cs="Times New Roman"/>
      <w:i/>
      <w:iCs/>
      <w:color w:val="243F60"/>
      <w:sz w:val="20"/>
    </w:rPr>
  </w:style>
  <w:style w:type="character" w:customStyle="1" w:styleId="7Char">
    <w:name w:val="Επικεφαλίδα 7 Char"/>
    <w:basedOn w:val="a3"/>
    <w:link w:val="7"/>
    <w:uiPriority w:val="9"/>
    <w:semiHidden/>
    <w:rPr>
      <w:rFonts w:ascii="Cambria" w:eastAsia="Times New Roman" w:hAnsi="Cambria" w:cs="Times New Roman"/>
      <w:i/>
      <w:iCs/>
      <w:color w:val="404040"/>
      <w:sz w:val="20"/>
    </w:rPr>
  </w:style>
  <w:style w:type="character" w:customStyle="1" w:styleId="8Char">
    <w:name w:val="Επικεφαλίδα 8 Char"/>
    <w:basedOn w:val="a3"/>
    <w:link w:val="8"/>
    <w:uiPriority w:val="9"/>
    <w:semiHidden/>
    <w:rPr>
      <w:rFonts w:ascii="Cambria" w:eastAsia="Times New Roman" w:hAnsi="Cambria" w:cs="Times New Roman"/>
      <w:color w:val="404040"/>
      <w:sz w:val="20"/>
      <w:szCs w:val="20"/>
    </w:rPr>
  </w:style>
  <w:style w:type="character" w:customStyle="1" w:styleId="9Char">
    <w:name w:val="Επικεφαλίδα 9 Char"/>
    <w:basedOn w:val="a3"/>
    <w:link w:val="9"/>
    <w:uiPriority w:val="9"/>
    <w:semiHidden/>
    <w:rPr>
      <w:rFonts w:ascii="Cambria" w:eastAsia="Times New Roman" w:hAnsi="Cambria" w:cs="Times New Roman"/>
      <w:i/>
      <w:iCs/>
      <w:color w:val="404040"/>
      <w:sz w:val="20"/>
      <w:szCs w:val="20"/>
    </w:rPr>
  </w:style>
  <w:style w:type="paragraph" w:styleId="a8">
    <w:name w:val="Balloon Text"/>
    <w:basedOn w:val="a2"/>
    <w:link w:val="Char1"/>
    <w:uiPriority w:val="99"/>
    <w:semiHidden/>
    <w:unhideWhenUsed/>
    <w:pPr>
      <w:spacing w:after="0"/>
    </w:pPr>
    <w:rPr>
      <w:rFonts w:ascii="Tahoma" w:eastAsia="Calibri" w:hAnsi="Tahoma" w:cs="Tahoma"/>
      <w:sz w:val="16"/>
      <w:szCs w:val="16"/>
    </w:rPr>
  </w:style>
  <w:style w:type="character" w:customStyle="1" w:styleId="Char1">
    <w:name w:val="Κείμενο πλαισίου Char"/>
    <w:basedOn w:val="a3"/>
    <w:link w:val="a8"/>
    <w:uiPriority w:val="99"/>
    <w:semiHidden/>
    <w:rPr>
      <w:rFonts w:ascii="Tahoma" w:eastAsia="Calibri" w:hAnsi="Tahoma" w:cs="Tahoma"/>
      <w:sz w:val="16"/>
      <w:szCs w:val="16"/>
    </w:rPr>
  </w:style>
  <w:style w:type="paragraph" w:styleId="a9">
    <w:name w:val="List Paragraph"/>
    <w:aliases w:val="Heading 2_sj,List Paragraph1,Bullet List Paragraph"/>
    <w:basedOn w:val="a2"/>
    <w:link w:val="Char2"/>
    <w:uiPriority w:val="34"/>
    <w:qFormat/>
    <w:pPr>
      <w:ind w:left="720"/>
      <w:contextualSpacing/>
    </w:pPr>
    <w:rPr>
      <w:rFonts w:ascii="Calibri" w:eastAsia="Calibri" w:hAnsi="Calibri" w:cs="Times New Roman"/>
    </w:rPr>
  </w:style>
  <w:style w:type="character" w:styleId="aa">
    <w:name w:val="annotation reference"/>
    <w:basedOn w:val="a3"/>
    <w:uiPriority w:val="99"/>
    <w:unhideWhenUsed/>
    <w:rPr>
      <w:sz w:val="16"/>
      <w:szCs w:val="16"/>
    </w:rPr>
  </w:style>
  <w:style w:type="paragraph" w:styleId="ab">
    <w:name w:val="annotation text"/>
    <w:basedOn w:val="a2"/>
    <w:link w:val="Char3"/>
    <w:uiPriority w:val="99"/>
    <w:unhideWhenUsed/>
    <w:rPr>
      <w:rFonts w:ascii="Calibri" w:eastAsia="Calibri" w:hAnsi="Calibri" w:cs="Times New Roman"/>
      <w:szCs w:val="20"/>
    </w:rPr>
  </w:style>
  <w:style w:type="character" w:customStyle="1" w:styleId="Char3">
    <w:name w:val="Κείμενο σχολίου Char"/>
    <w:basedOn w:val="a3"/>
    <w:link w:val="ab"/>
    <w:uiPriority w:val="99"/>
    <w:rPr>
      <w:rFonts w:ascii="Calibri" w:eastAsia="Calibri" w:hAnsi="Calibri" w:cs="Times New Roman"/>
      <w:sz w:val="20"/>
      <w:szCs w:val="20"/>
    </w:rPr>
  </w:style>
  <w:style w:type="paragraph" w:styleId="ac">
    <w:name w:val="annotation subject"/>
    <w:basedOn w:val="ab"/>
    <w:next w:val="ab"/>
    <w:link w:val="Char4"/>
    <w:uiPriority w:val="99"/>
    <w:semiHidden/>
    <w:unhideWhenUsed/>
    <w:rPr>
      <w:b/>
      <w:bCs/>
    </w:rPr>
  </w:style>
  <w:style w:type="character" w:customStyle="1" w:styleId="Char4">
    <w:name w:val="Θέμα σχολίου Char"/>
    <w:basedOn w:val="Char3"/>
    <w:link w:val="ac"/>
    <w:uiPriority w:val="99"/>
    <w:semiHidden/>
    <w:rPr>
      <w:rFonts w:ascii="Calibri" w:eastAsia="Calibri" w:hAnsi="Calibri" w:cs="Times New Roman"/>
      <w:b/>
      <w:bCs/>
      <w:sz w:val="20"/>
      <w:szCs w:val="20"/>
    </w:rPr>
  </w:style>
  <w:style w:type="paragraph" w:styleId="ad">
    <w:name w:val="footnote text"/>
    <w:aliases w:val="Footnote Text Char Char,Footnote Text Char Char Char Char,Footnote Text1 Char,Footnote Text1,Footnote Text Char Char Char,Footnote Text1 Char Char Char,Footnote Text1 Char Char Char Char Char Char Char Char,Char Char Char"/>
    <w:basedOn w:val="a2"/>
    <w:link w:val="Char5"/>
    <w:uiPriority w:val="99"/>
    <w:unhideWhenUsed/>
    <w:qFormat/>
    <w:pPr>
      <w:spacing w:after="0"/>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a3"/>
    <w:uiPriority w:val="99"/>
    <w:qFormat/>
    <w:rPr>
      <w:rFonts w:ascii="Calibri" w:eastAsia="Calibri" w:hAnsi="Calibri" w:cs="Times New Roman"/>
      <w:sz w:val="18"/>
      <w:szCs w:val="20"/>
    </w:rPr>
  </w:style>
  <w:style w:type="character" w:styleId="ae">
    <w:name w:val="footnote reference"/>
    <w:aliases w:val="Footnote,Footnote symbol,Char1 Char Char Char Char,Footnote Reference/,EN Footnote Reference,Times 10 Point,Exposant 3 Point,Footnote reference number,note TESI,stylish,SUPERS,number,no...,Footnote Reference Superscript,E FNZ"/>
    <w:basedOn w:val="a3"/>
    <w:link w:val="FootnotesymbolCarZchn"/>
    <w:uiPriority w:val="99"/>
    <w:unhideWhenUsed/>
    <w:qFormat/>
    <w:rPr>
      <w:vertAlign w:val="superscript"/>
    </w:rPr>
  </w:style>
  <w:style w:type="character" w:styleId="-">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a2"/>
    <w:link w:val="ae"/>
    <w:uiPriority w:val="99"/>
    <w:pPr>
      <w:spacing w:after="160" w:line="240" w:lineRule="exact"/>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rPr>
  </w:style>
  <w:style w:type="paragraph" w:customStyle="1" w:styleId="CM1">
    <w:name w:val="CM1"/>
    <w:basedOn w:val="Default"/>
    <w:next w:val="Default"/>
    <w:uiPriority w:val="99"/>
    <w:rPr>
      <w:rFonts w:ascii="EUAlbertina" w:hAnsi="EUAlbertina" w:cs="Times New Roman"/>
      <w:color w:val="auto"/>
    </w:rPr>
  </w:style>
  <w:style w:type="paragraph" w:customStyle="1" w:styleId="CM3">
    <w:name w:val="CM3"/>
    <w:basedOn w:val="Default"/>
    <w:next w:val="Default"/>
    <w:uiPriority w:val="99"/>
    <w:rPr>
      <w:rFonts w:ascii="EUAlbertina" w:hAnsi="EUAlbertina" w:cs="Times New Roman"/>
      <w:color w:val="auto"/>
    </w:rPr>
  </w:style>
  <w:style w:type="paragraph" w:customStyle="1" w:styleId="CM4">
    <w:name w:val="CM4"/>
    <w:basedOn w:val="Default"/>
    <w:next w:val="Default"/>
    <w:uiPriority w:val="99"/>
    <w:rPr>
      <w:rFonts w:ascii="EUAlbertina" w:hAnsi="EUAlbertina" w:cs="Times New Roman"/>
      <w:color w:val="auto"/>
    </w:rPr>
  </w:style>
  <w:style w:type="character" w:styleId="-0">
    <w:name w:val="FollowedHyperlink"/>
    <w:basedOn w:val="a3"/>
    <w:uiPriority w:val="99"/>
    <w:semiHidden/>
    <w:unhideWhenUsed/>
    <w:rPr>
      <w:color w:val="800080"/>
      <w:u w:val="single"/>
    </w:rPr>
  </w:style>
  <w:style w:type="paragraph" w:styleId="af">
    <w:name w:val="Revision"/>
    <w:hidden/>
    <w:uiPriority w:val="99"/>
    <w:semiHidden/>
    <w:pPr>
      <w:spacing w:after="0" w:line="240" w:lineRule="auto"/>
    </w:pPr>
    <w:rPr>
      <w:rFonts w:ascii="Calibri" w:eastAsia="Calibri" w:hAnsi="Calibri" w:cs="Times New Roman"/>
      <w:sz w:val="20"/>
    </w:rPr>
  </w:style>
  <w:style w:type="paragraph" w:styleId="af0">
    <w:name w:val="TOC Heading"/>
    <w:basedOn w:val="a2"/>
    <w:next w:val="a2"/>
    <w:qFormat/>
    <w:pPr>
      <w:keepNext/>
      <w:spacing w:before="240" w:after="240"/>
      <w:jc w:val="center"/>
    </w:pPr>
    <w:rPr>
      <w:rFonts w:ascii="Times New Roman" w:eastAsia="Times New Roman" w:hAnsi="Times New Roman" w:cs="Times New Roman"/>
      <w:b/>
      <w:sz w:val="24"/>
      <w:szCs w:val="20"/>
    </w:rPr>
  </w:style>
  <w:style w:type="paragraph" w:styleId="22">
    <w:name w:val="toc 2"/>
    <w:basedOn w:val="a2"/>
    <w:next w:val="a2"/>
    <w:autoRedefine/>
    <w:uiPriority w:val="39"/>
    <w:qFormat/>
    <w:pPr>
      <w:tabs>
        <w:tab w:val="right" w:leader="dot" w:pos="8640"/>
      </w:tabs>
      <w:spacing w:after="60"/>
      <w:ind w:left="1077" w:right="720" w:hanging="595"/>
    </w:pPr>
    <w:rPr>
      <w:rFonts w:ascii="Calibri" w:eastAsia="Times New Roman" w:hAnsi="Calibri" w:cs="Times New Roman"/>
      <w:noProof/>
      <w:szCs w:val="20"/>
    </w:rPr>
  </w:style>
  <w:style w:type="paragraph" w:styleId="10">
    <w:name w:val="toc 1"/>
    <w:basedOn w:val="a2"/>
    <w:next w:val="a2"/>
    <w:autoRedefine/>
    <w:uiPriority w:val="39"/>
    <w:qFormat/>
    <w:pPr>
      <w:widowControl w:val="0"/>
      <w:suppressLineNumbers/>
      <w:tabs>
        <w:tab w:val="right" w:leader="dot" w:pos="8640"/>
      </w:tabs>
      <w:spacing w:before="120"/>
      <w:ind w:left="482" w:right="720" w:hanging="482"/>
    </w:pPr>
    <w:rPr>
      <w:rFonts w:ascii="Calibri" w:eastAsia="Times New Roman" w:hAnsi="Calibri" w:cs="Times New Roman"/>
      <w:caps/>
      <w:szCs w:val="20"/>
    </w:rPr>
  </w:style>
  <w:style w:type="paragraph" w:styleId="32">
    <w:name w:val="toc 3"/>
    <w:basedOn w:val="a2"/>
    <w:next w:val="a2"/>
    <w:uiPriority w:val="39"/>
    <w:qFormat/>
    <w:pPr>
      <w:tabs>
        <w:tab w:val="right" w:leader="dot" w:pos="8640"/>
      </w:tabs>
      <w:spacing w:before="60" w:after="60"/>
      <w:ind w:left="1916" w:right="720" w:hanging="839"/>
    </w:pPr>
    <w:rPr>
      <w:rFonts w:ascii="Calibri" w:eastAsia="Times New Roman" w:hAnsi="Calibri" w:cs="Times New Roman"/>
      <w:sz w:val="24"/>
      <w:szCs w:val="20"/>
    </w:rPr>
  </w:style>
  <w:style w:type="table" w:styleId="af1">
    <w:name w:val="Table Grid"/>
    <w:basedOn w:val="a4"/>
    <w:uiPriority w:val="5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a2"/>
    <w:next w:val="a2"/>
    <w:pPr>
      <w:spacing w:before="480" w:after="0"/>
      <w:ind w:left="567" w:hanging="567"/>
    </w:pPr>
    <w:rPr>
      <w:rFonts w:ascii="Times New Roman" w:eastAsia="Times New Roman" w:hAnsi="Times New Roman" w:cs="Times New Roman"/>
      <w:sz w:val="24"/>
      <w:szCs w:val="20"/>
    </w:rPr>
  </w:style>
  <w:style w:type="paragraph" w:styleId="a0">
    <w:name w:val="List Bullet"/>
    <w:basedOn w:val="a2"/>
    <w:pPr>
      <w:numPr>
        <w:numId w:val="2"/>
      </w:numPr>
      <w:spacing w:after="240"/>
    </w:pPr>
    <w:rPr>
      <w:rFonts w:ascii="Times New Roman" w:eastAsia="Times New Roman" w:hAnsi="Times New Roman" w:cs="Times New Roman"/>
      <w:sz w:val="24"/>
      <w:szCs w:val="20"/>
    </w:rPr>
  </w:style>
  <w:style w:type="paragraph" w:customStyle="1" w:styleId="ListBullet1">
    <w:name w:val="List Bullet 1"/>
    <w:basedOn w:val="a2"/>
    <w:pPr>
      <w:numPr>
        <w:numId w:val="3"/>
      </w:numPr>
      <w:spacing w:after="240"/>
    </w:pPr>
    <w:rPr>
      <w:rFonts w:ascii="Times New Roman" w:eastAsia="Times New Roman" w:hAnsi="Times New Roman" w:cs="Times New Roman"/>
      <w:sz w:val="24"/>
      <w:szCs w:val="20"/>
    </w:rPr>
  </w:style>
  <w:style w:type="paragraph" w:styleId="2">
    <w:name w:val="List Bullet 2"/>
    <w:basedOn w:val="a2"/>
    <w:pPr>
      <w:numPr>
        <w:numId w:val="4"/>
      </w:numPr>
      <w:spacing w:after="240"/>
    </w:pPr>
    <w:rPr>
      <w:rFonts w:ascii="Times New Roman" w:eastAsia="Times New Roman" w:hAnsi="Times New Roman" w:cs="Times New Roman"/>
      <w:sz w:val="24"/>
      <w:szCs w:val="20"/>
    </w:rPr>
  </w:style>
  <w:style w:type="paragraph" w:styleId="30">
    <w:name w:val="List Bullet 3"/>
    <w:basedOn w:val="a2"/>
    <w:pPr>
      <w:numPr>
        <w:numId w:val="5"/>
      </w:numPr>
      <w:spacing w:after="240"/>
    </w:pPr>
    <w:rPr>
      <w:rFonts w:ascii="Times New Roman" w:eastAsia="Times New Roman" w:hAnsi="Times New Roman" w:cs="Times New Roman"/>
      <w:sz w:val="24"/>
      <w:szCs w:val="20"/>
    </w:rPr>
  </w:style>
  <w:style w:type="paragraph" w:styleId="4">
    <w:name w:val="List Bullet 4"/>
    <w:basedOn w:val="a2"/>
    <w:pPr>
      <w:numPr>
        <w:numId w:val="6"/>
      </w:numPr>
      <w:spacing w:after="240"/>
    </w:pPr>
    <w:rPr>
      <w:rFonts w:ascii="Times New Roman" w:eastAsia="Times New Roman" w:hAnsi="Times New Roman" w:cs="Times New Roman"/>
      <w:sz w:val="24"/>
      <w:szCs w:val="20"/>
    </w:rPr>
  </w:style>
  <w:style w:type="paragraph" w:customStyle="1" w:styleId="ListDash">
    <w:name w:val="List Dash"/>
    <w:basedOn w:val="a2"/>
    <w:pPr>
      <w:numPr>
        <w:numId w:val="7"/>
      </w:numPr>
      <w:spacing w:after="240"/>
    </w:pPr>
    <w:rPr>
      <w:rFonts w:ascii="Times New Roman" w:eastAsia="Times New Roman" w:hAnsi="Times New Roman" w:cs="Times New Roman"/>
      <w:sz w:val="24"/>
      <w:szCs w:val="20"/>
    </w:rPr>
  </w:style>
  <w:style w:type="paragraph" w:customStyle="1" w:styleId="ListDash1">
    <w:name w:val="List Dash 1"/>
    <w:basedOn w:val="a2"/>
    <w:pPr>
      <w:numPr>
        <w:numId w:val="8"/>
      </w:numPr>
      <w:spacing w:after="240"/>
    </w:pPr>
    <w:rPr>
      <w:rFonts w:ascii="Times New Roman" w:eastAsia="Times New Roman" w:hAnsi="Times New Roman" w:cs="Times New Roman"/>
      <w:sz w:val="24"/>
      <w:szCs w:val="20"/>
    </w:rPr>
  </w:style>
  <w:style w:type="paragraph" w:customStyle="1" w:styleId="ListDash2">
    <w:name w:val="List Dash 2"/>
    <w:basedOn w:val="a2"/>
    <w:pPr>
      <w:numPr>
        <w:numId w:val="9"/>
      </w:numPr>
      <w:spacing w:after="240"/>
    </w:pPr>
    <w:rPr>
      <w:rFonts w:ascii="Times New Roman" w:eastAsia="Times New Roman" w:hAnsi="Times New Roman" w:cs="Times New Roman"/>
      <w:sz w:val="24"/>
      <w:szCs w:val="20"/>
    </w:rPr>
  </w:style>
  <w:style w:type="paragraph" w:customStyle="1" w:styleId="ListDash3">
    <w:name w:val="List Dash 3"/>
    <w:basedOn w:val="a2"/>
    <w:pPr>
      <w:numPr>
        <w:numId w:val="10"/>
      </w:numPr>
      <w:spacing w:after="240"/>
    </w:pPr>
    <w:rPr>
      <w:rFonts w:ascii="Times New Roman" w:eastAsia="Times New Roman" w:hAnsi="Times New Roman" w:cs="Times New Roman"/>
      <w:sz w:val="24"/>
      <w:szCs w:val="20"/>
    </w:rPr>
  </w:style>
  <w:style w:type="paragraph" w:customStyle="1" w:styleId="ListDash4">
    <w:name w:val="List Dash 4"/>
    <w:basedOn w:val="a2"/>
    <w:pPr>
      <w:numPr>
        <w:numId w:val="11"/>
      </w:numPr>
      <w:spacing w:after="240"/>
    </w:pPr>
    <w:rPr>
      <w:rFonts w:ascii="Times New Roman" w:eastAsia="Times New Roman" w:hAnsi="Times New Roman" w:cs="Times New Roman"/>
      <w:sz w:val="24"/>
      <w:szCs w:val="20"/>
    </w:rPr>
  </w:style>
  <w:style w:type="paragraph" w:styleId="a">
    <w:name w:val="List Number"/>
    <w:basedOn w:val="a2"/>
    <w:pPr>
      <w:numPr>
        <w:numId w:val="12"/>
      </w:numPr>
      <w:spacing w:after="240"/>
    </w:pPr>
    <w:rPr>
      <w:rFonts w:ascii="Times New Roman" w:eastAsia="Times New Roman" w:hAnsi="Times New Roman" w:cs="Times New Roman"/>
      <w:sz w:val="24"/>
      <w:szCs w:val="20"/>
    </w:rPr>
  </w:style>
  <w:style w:type="paragraph" w:customStyle="1" w:styleId="ListNumber1">
    <w:name w:val="List Number 1"/>
    <w:basedOn w:val="a2"/>
    <w:pPr>
      <w:numPr>
        <w:numId w:val="13"/>
      </w:numPr>
      <w:spacing w:after="240"/>
    </w:pPr>
    <w:rPr>
      <w:rFonts w:ascii="Times New Roman" w:eastAsia="Times New Roman" w:hAnsi="Times New Roman" w:cs="Times New Roman"/>
      <w:sz w:val="24"/>
      <w:szCs w:val="20"/>
    </w:rPr>
  </w:style>
  <w:style w:type="paragraph" w:styleId="20">
    <w:name w:val="List Number 2"/>
    <w:basedOn w:val="a2"/>
    <w:pPr>
      <w:numPr>
        <w:numId w:val="14"/>
      </w:numPr>
      <w:spacing w:after="240"/>
    </w:pPr>
    <w:rPr>
      <w:rFonts w:ascii="Times New Roman" w:eastAsia="Times New Roman" w:hAnsi="Times New Roman" w:cs="Times New Roman"/>
      <w:sz w:val="24"/>
      <w:szCs w:val="20"/>
    </w:rPr>
  </w:style>
  <w:style w:type="paragraph" w:styleId="3">
    <w:name w:val="List Number 3"/>
    <w:basedOn w:val="a2"/>
    <w:pPr>
      <w:numPr>
        <w:numId w:val="15"/>
      </w:numPr>
      <w:spacing w:after="240"/>
    </w:pPr>
    <w:rPr>
      <w:rFonts w:ascii="Times New Roman" w:eastAsia="Times New Roman" w:hAnsi="Times New Roman" w:cs="Times New Roman"/>
      <w:sz w:val="24"/>
      <w:szCs w:val="20"/>
    </w:rPr>
  </w:style>
  <w:style w:type="paragraph" w:styleId="40">
    <w:name w:val="List Number 4"/>
    <w:basedOn w:val="a2"/>
    <w:pPr>
      <w:numPr>
        <w:numId w:val="16"/>
      </w:numPr>
      <w:spacing w:after="240"/>
    </w:pPr>
    <w:rPr>
      <w:rFonts w:ascii="Times New Roman" w:eastAsia="Times New Roman" w:hAnsi="Times New Roman" w:cs="Times New Roman"/>
      <w:sz w:val="24"/>
      <w:szCs w:val="20"/>
    </w:rPr>
  </w:style>
  <w:style w:type="paragraph" w:customStyle="1" w:styleId="ListNumberLevel2">
    <w:name w:val="List Number (Level 2)"/>
    <w:basedOn w:val="a2"/>
    <w:pPr>
      <w:numPr>
        <w:ilvl w:val="1"/>
        <w:numId w:val="12"/>
      </w:numPr>
      <w:spacing w:after="240"/>
    </w:pPr>
    <w:rPr>
      <w:rFonts w:ascii="Times New Roman" w:eastAsia="Times New Roman" w:hAnsi="Times New Roman" w:cs="Times New Roman"/>
      <w:sz w:val="24"/>
      <w:szCs w:val="20"/>
    </w:rPr>
  </w:style>
  <w:style w:type="paragraph" w:customStyle="1" w:styleId="ListNumber1Level2">
    <w:name w:val="List Number 1 (Level 2)"/>
    <w:basedOn w:val="a2"/>
    <w:pPr>
      <w:numPr>
        <w:ilvl w:val="1"/>
        <w:numId w:val="13"/>
      </w:numPr>
      <w:spacing w:after="240"/>
    </w:pPr>
    <w:rPr>
      <w:rFonts w:ascii="Times New Roman" w:eastAsia="Times New Roman" w:hAnsi="Times New Roman" w:cs="Times New Roman"/>
      <w:sz w:val="24"/>
      <w:szCs w:val="20"/>
    </w:rPr>
  </w:style>
  <w:style w:type="paragraph" w:customStyle="1" w:styleId="ListNumber2Level2">
    <w:name w:val="List Number 2 (Level 2)"/>
    <w:basedOn w:val="a2"/>
    <w:pPr>
      <w:numPr>
        <w:ilvl w:val="1"/>
        <w:numId w:val="14"/>
      </w:numPr>
      <w:spacing w:after="240"/>
    </w:pPr>
    <w:rPr>
      <w:rFonts w:ascii="Times New Roman" w:eastAsia="Times New Roman" w:hAnsi="Times New Roman" w:cs="Times New Roman"/>
      <w:sz w:val="24"/>
      <w:szCs w:val="20"/>
    </w:rPr>
  </w:style>
  <w:style w:type="paragraph" w:customStyle="1" w:styleId="ListNumber3Level2">
    <w:name w:val="List Number 3 (Level 2)"/>
    <w:basedOn w:val="a2"/>
    <w:pPr>
      <w:numPr>
        <w:ilvl w:val="1"/>
        <w:numId w:val="15"/>
      </w:numPr>
      <w:spacing w:after="240"/>
    </w:pPr>
    <w:rPr>
      <w:rFonts w:ascii="Times New Roman" w:eastAsia="Times New Roman" w:hAnsi="Times New Roman" w:cs="Times New Roman"/>
      <w:sz w:val="24"/>
      <w:szCs w:val="20"/>
    </w:rPr>
  </w:style>
  <w:style w:type="paragraph" w:customStyle="1" w:styleId="ListNumber4Level2">
    <w:name w:val="List Number 4 (Level 2)"/>
    <w:basedOn w:val="a2"/>
    <w:pPr>
      <w:numPr>
        <w:ilvl w:val="1"/>
        <w:numId w:val="16"/>
      </w:numPr>
      <w:spacing w:after="240"/>
    </w:pPr>
    <w:rPr>
      <w:rFonts w:ascii="Times New Roman" w:eastAsia="Times New Roman" w:hAnsi="Times New Roman" w:cs="Times New Roman"/>
      <w:sz w:val="24"/>
      <w:szCs w:val="20"/>
    </w:rPr>
  </w:style>
  <w:style w:type="paragraph" w:customStyle="1" w:styleId="ListNumberLevel3">
    <w:name w:val="List Number (Level 3)"/>
    <w:basedOn w:val="a2"/>
    <w:pPr>
      <w:numPr>
        <w:ilvl w:val="2"/>
        <w:numId w:val="12"/>
      </w:numPr>
      <w:spacing w:after="240"/>
    </w:pPr>
    <w:rPr>
      <w:rFonts w:ascii="Times New Roman" w:eastAsia="Times New Roman" w:hAnsi="Times New Roman" w:cs="Times New Roman"/>
      <w:sz w:val="24"/>
      <w:szCs w:val="20"/>
    </w:rPr>
  </w:style>
  <w:style w:type="paragraph" w:customStyle="1" w:styleId="ListNumber1Level3">
    <w:name w:val="List Number 1 (Level 3)"/>
    <w:basedOn w:val="a2"/>
    <w:pPr>
      <w:numPr>
        <w:ilvl w:val="2"/>
        <w:numId w:val="13"/>
      </w:numPr>
      <w:spacing w:after="240"/>
    </w:pPr>
    <w:rPr>
      <w:rFonts w:ascii="Times New Roman" w:eastAsia="Times New Roman" w:hAnsi="Times New Roman" w:cs="Times New Roman"/>
      <w:sz w:val="24"/>
      <w:szCs w:val="20"/>
    </w:rPr>
  </w:style>
  <w:style w:type="paragraph" w:customStyle="1" w:styleId="ListNumber2Level3">
    <w:name w:val="List Number 2 (Level 3)"/>
    <w:basedOn w:val="a2"/>
    <w:pPr>
      <w:numPr>
        <w:ilvl w:val="2"/>
        <w:numId w:val="14"/>
      </w:numPr>
      <w:spacing w:after="240"/>
    </w:pPr>
    <w:rPr>
      <w:rFonts w:ascii="Times New Roman" w:eastAsia="Times New Roman" w:hAnsi="Times New Roman" w:cs="Times New Roman"/>
      <w:sz w:val="24"/>
      <w:szCs w:val="20"/>
    </w:rPr>
  </w:style>
  <w:style w:type="paragraph" w:customStyle="1" w:styleId="ListNumber3Level3">
    <w:name w:val="List Number 3 (Level 3)"/>
    <w:basedOn w:val="a2"/>
    <w:pPr>
      <w:numPr>
        <w:ilvl w:val="2"/>
        <w:numId w:val="15"/>
      </w:numPr>
      <w:spacing w:after="240"/>
    </w:pPr>
    <w:rPr>
      <w:rFonts w:ascii="Times New Roman" w:eastAsia="Times New Roman" w:hAnsi="Times New Roman" w:cs="Times New Roman"/>
      <w:sz w:val="24"/>
      <w:szCs w:val="20"/>
    </w:rPr>
  </w:style>
  <w:style w:type="paragraph" w:customStyle="1" w:styleId="ListNumber4Level3">
    <w:name w:val="List Number 4 (Level 3)"/>
    <w:basedOn w:val="a2"/>
    <w:pPr>
      <w:numPr>
        <w:ilvl w:val="2"/>
        <w:numId w:val="16"/>
      </w:numPr>
      <w:spacing w:after="240"/>
    </w:pPr>
    <w:rPr>
      <w:rFonts w:ascii="Times New Roman" w:eastAsia="Times New Roman" w:hAnsi="Times New Roman" w:cs="Times New Roman"/>
      <w:sz w:val="24"/>
      <w:szCs w:val="20"/>
    </w:rPr>
  </w:style>
  <w:style w:type="paragraph" w:customStyle="1" w:styleId="ListNumberLevel4">
    <w:name w:val="List Number (Level 4)"/>
    <w:basedOn w:val="a2"/>
    <w:pPr>
      <w:numPr>
        <w:ilvl w:val="3"/>
        <w:numId w:val="12"/>
      </w:numPr>
      <w:spacing w:after="240"/>
    </w:pPr>
    <w:rPr>
      <w:rFonts w:ascii="Times New Roman" w:eastAsia="Times New Roman" w:hAnsi="Times New Roman" w:cs="Times New Roman"/>
      <w:sz w:val="24"/>
      <w:szCs w:val="20"/>
    </w:rPr>
  </w:style>
  <w:style w:type="paragraph" w:customStyle="1" w:styleId="ListNumber1Level4">
    <w:name w:val="List Number 1 (Level 4)"/>
    <w:basedOn w:val="a2"/>
    <w:pPr>
      <w:numPr>
        <w:ilvl w:val="3"/>
        <w:numId w:val="13"/>
      </w:numPr>
      <w:spacing w:after="240"/>
    </w:pPr>
    <w:rPr>
      <w:rFonts w:ascii="Times New Roman" w:eastAsia="Times New Roman" w:hAnsi="Times New Roman" w:cs="Times New Roman"/>
      <w:sz w:val="24"/>
      <w:szCs w:val="20"/>
    </w:rPr>
  </w:style>
  <w:style w:type="paragraph" w:customStyle="1" w:styleId="ListNumber2Level4">
    <w:name w:val="List Number 2 (Level 4)"/>
    <w:basedOn w:val="a2"/>
    <w:pPr>
      <w:numPr>
        <w:ilvl w:val="3"/>
        <w:numId w:val="14"/>
      </w:numPr>
      <w:spacing w:after="240"/>
    </w:pPr>
    <w:rPr>
      <w:rFonts w:ascii="Times New Roman" w:eastAsia="Times New Roman" w:hAnsi="Times New Roman" w:cs="Times New Roman"/>
      <w:sz w:val="24"/>
      <w:szCs w:val="20"/>
    </w:rPr>
  </w:style>
  <w:style w:type="paragraph" w:customStyle="1" w:styleId="ListNumber3Level4">
    <w:name w:val="List Number 3 (Level 4)"/>
    <w:basedOn w:val="a2"/>
    <w:pPr>
      <w:numPr>
        <w:ilvl w:val="3"/>
        <w:numId w:val="15"/>
      </w:numPr>
      <w:spacing w:after="240"/>
    </w:pPr>
    <w:rPr>
      <w:rFonts w:ascii="Times New Roman" w:eastAsia="Times New Roman" w:hAnsi="Times New Roman" w:cs="Times New Roman"/>
      <w:sz w:val="24"/>
      <w:szCs w:val="20"/>
    </w:rPr>
  </w:style>
  <w:style w:type="paragraph" w:customStyle="1" w:styleId="ListNumber4Level4">
    <w:name w:val="List Number 4 (Level 4)"/>
    <w:basedOn w:val="a2"/>
    <w:pPr>
      <w:numPr>
        <w:ilvl w:val="3"/>
        <w:numId w:val="16"/>
      </w:numPr>
      <w:spacing w:after="240"/>
    </w:pPr>
    <w:rPr>
      <w:rFonts w:ascii="Times New Roman" w:eastAsia="Times New Roman" w:hAnsi="Times New Roman" w:cs="Times New Roman"/>
      <w:sz w:val="24"/>
      <w:szCs w:val="20"/>
    </w:rPr>
  </w:style>
  <w:style w:type="paragraph" w:styleId="50">
    <w:name w:val="toc 5"/>
    <w:basedOn w:val="a2"/>
    <w:next w:val="a2"/>
    <w:semiHidden/>
    <w:pPr>
      <w:tabs>
        <w:tab w:val="right" w:leader="dot" w:pos="8641"/>
      </w:tabs>
      <w:spacing w:before="240"/>
      <w:ind w:right="720"/>
    </w:pPr>
    <w:rPr>
      <w:rFonts w:ascii="Times New Roman" w:eastAsia="Times New Roman" w:hAnsi="Times New Roman" w:cs="Times New Roman"/>
      <w:caps/>
      <w:sz w:val="24"/>
      <w:szCs w:val="20"/>
    </w:rPr>
  </w:style>
  <w:style w:type="paragraph" w:styleId="42">
    <w:name w:val="toc 4"/>
    <w:basedOn w:val="a2"/>
    <w:next w:val="a2"/>
    <w:semiHidden/>
    <w:pPr>
      <w:tabs>
        <w:tab w:val="right" w:leader="dot" w:pos="8641"/>
      </w:tabs>
      <w:spacing w:before="60" w:after="60"/>
      <w:ind w:left="2880" w:right="720" w:hanging="964"/>
    </w:pPr>
    <w:rPr>
      <w:rFonts w:ascii="Calibri" w:eastAsia="Times New Roman" w:hAnsi="Calibri" w:cs="Times New Roman"/>
      <w:sz w:val="24"/>
      <w:szCs w:val="20"/>
    </w:rPr>
  </w:style>
  <w:style w:type="table" w:customStyle="1" w:styleId="LightList-Accent11">
    <w:name w:val="Light List - Accent 11"/>
    <w:basedOn w:val="a4"/>
    <w:uiPriority w:val="61"/>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af2">
    <w:name w:val="Emphasis"/>
    <w:uiPriority w:val="20"/>
    <w:qFormat/>
    <w:rPr>
      <w:color w:val="FF0000"/>
    </w:rPr>
  </w:style>
  <w:style w:type="character" w:customStyle="1" w:styleId="FootnoteCharacters">
    <w:name w:val="Footnote Characters"/>
  </w:style>
  <w:style w:type="character" w:styleId="af3">
    <w:name w:val="Strong"/>
    <w:aliases w:val="SA"/>
    <w:uiPriority w:val="22"/>
    <w:qFormat/>
    <w:rPr>
      <w:rFonts w:ascii="Arial" w:hAnsi="Arial"/>
      <w:color w:val="auto"/>
      <w:sz w:val="20"/>
    </w:rPr>
  </w:style>
  <w:style w:type="paragraph" w:styleId="af4">
    <w:name w:val="caption"/>
    <w:basedOn w:val="a2"/>
    <w:next w:val="a2"/>
    <w:uiPriority w:val="35"/>
    <w:unhideWhenUsed/>
    <w:qFormat/>
    <w:rPr>
      <w:rFonts w:ascii="Calibri" w:eastAsia="Calibri" w:hAnsi="Calibri" w:cs="Times New Roman"/>
      <w:b/>
      <w:bCs/>
      <w:color w:val="4F81BD"/>
      <w:sz w:val="18"/>
      <w:szCs w:val="18"/>
    </w:rPr>
  </w:style>
  <w:style w:type="paragraph" w:styleId="a1">
    <w:name w:val="No Spacing"/>
    <w:autoRedefine/>
    <w:uiPriority w:val="1"/>
    <w:pPr>
      <w:widowControl w:val="0"/>
      <w:numPr>
        <w:numId w:val="24"/>
      </w:numPr>
      <w:spacing w:after="0" w:line="240" w:lineRule="auto"/>
      <w:ind w:left="357" w:hanging="357"/>
      <w:jc w:val="both"/>
    </w:pPr>
    <w:rPr>
      <w:rFonts w:eastAsiaTheme="minorEastAsia"/>
      <w:color w:val="000000"/>
      <w:sz w:val="20"/>
    </w:rPr>
  </w:style>
  <w:style w:type="paragraph" w:styleId="af5">
    <w:name w:val="Quote"/>
    <w:basedOn w:val="a2"/>
    <w:next w:val="a2"/>
    <w:link w:val="Char6"/>
    <w:uiPriority w:val="29"/>
    <w:qFormat/>
    <w:pPr>
      <w:shd w:val="clear" w:color="auto" w:fill="4F81BD"/>
      <w:spacing w:before="240"/>
    </w:pPr>
    <w:rPr>
      <w:rFonts w:ascii="Calibri" w:eastAsia="Calibri" w:hAnsi="Calibri" w:cs="Times New Roman"/>
    </w:rPr>
  </w:style>
  <w:style w:type="character" w:customStyle="1" w:styleId="Char6">
    <w:name w:val="Απόσπασμα Char"/>
    <w:basedOn w:val="a3"/>
    <w:link w:val="af5"/>
    <w:uiPriority w:val="29"/>
    <w:rPr>
      <w:rFonts w:ascii="Calibri" w:eastAsia="Calibri" w:hAnsi="Calibri" w:cs="Times New Roman"/>
      <w:sz w:val="20"/>
      <w:shd w:val="clear" w:color="auto" w:fill="4F81BD"/>
    </w:rPr>
  </w:style>
  <w:style w:type="paragraph" w:styleId="Web">
    <w:name w:val="Normal (Web)"/>
    <w:basedOn w:val="a2"/>
    <w:uiPriority w:val="99"/>
    <w:unhideWhenUsed/>
    <w:pPr>
      <w:spacing w:before="100" w:beforeAutospacing="1" w:after="100" w:afterAutospacing="1"/>
    </w:pPr>
    <w:rPr>
      <w:rFonts w:ascii="Times New Roman" w:eastAsia="Times New Roman" w:hAnsi="Times New Roman" w:cs="Times New Roman"/>
      <w:sz w:val="24"/>
      <w:szCs w:val="24"/>
    </w:rPr>
  </w:style>
  <w:style w:type="character" w:customStyle="1" w:styleId="Char2">
    <w:name w:val="Παράγραφος λίστας Char"/>
    <w:aliases w:val="Heading 2_sj Char,List Paragraph1 Char,Bullet List Paragraph Char"/>
    <w:link w:val="a9"/>
    <w:uiPriority w:val="34"/>
    <w:locked/>
    <w:rPr>
      <w:rFonts w:ascii="Calibri" w:eastAsia="Calibri" w:hAnsi="Calibri" w:cs="Times New Roman"/>
      <w:sz w:val="20"/>
    </w:rPr>
  </w:style>
  <w:style w:type="table" w:customStyle="1" w:styleId="TableGrid1">
    <w:name w:val="Table Grid1"/>
    <w:basedOn w:val="a4"/>
    <w:next w:val="af1"/>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5"/>
    <w:uiPriority w:val="99"/>
    <w:semiHidden/>
    <w:unhideWhenUsed/>
  </w:style>
  <w:style w:type="table" w:customStyle="1" w:styleId="TableGrid2">
    <w:name w:val="Table Grid2"/>
    <w:basedOn w:val="a4"/>
    <w:next w:val="af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List Accent 1"/>
    <w:basedOn w:val="a4"/>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orpo">
    <w:name w:val="Corpo"/>
    <w:pPr>
      <w:pBdr>
        <w:top w:val="nil"/>
        <w:left w:val="nil"/>
        <w:bottom w:val="nil"/>
        <w:right w:val="nil"/>
        <w:between w:val="nil"/>
        <w:bar w:val="nil"/>
      </w:pBdr>
      <w:spacing w:line="240" w:lineRule="auto"/>
      <w:jc w:val="both"/>
    </w:pPr>
    <w:rPr>
      <w:rFonts w:ascii="Times New Roman" w:eastAsia="Times New Roman" w:hAnsi="Times New Roman" w:cs="Times New Roman"/>
      <w:color w:val="000000"/>
      <w:sz w:val="20"/>
      <w:szCs w:val="20"/>
      <w:u w:color="000000"/>
      <w:bdr w:val="nil"/>
    </w:rPr>
  </w:style>
  <w:style w:type="paragraph" w:customStyle="1" w:styleId="NumPar1">
    <w:name w:val="NumPar 1"/>
    <w:basedOn w:val="1"/>
    <w:next w:val="a2"/>
    <w:pPr>
      <w:keepNext w:val="0"/>
      <w:keepLines w:val="0"/>
      <w:spacing w:after="240"/>
      <w:ind w:left="720" w:hanging="360"/>
      <w:outlineLvl w:val="9"/>
    </w:pPr>
    <w:rPr>
      <w:rFonts w:ascii="Times New Roman" w:hAnsi="Times New Roman"/>
      <w:b w:val="0"/>
      <w:bCs w:val="0"/>
      <w:color w:val="auto"/>
      <w:sz w:val="24"/>
      <w:szCs w:val="20"/>
    </w:rPr>
  </w:style>
  <w:style w:type="table" w:customStyle="1" w:styleId="TableGrid11">
    <w:name w:val="Table Grid11"/>
    <w:basedOn w:val="a4"/>
    <w:next w:val="af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4"/>
    <w:next w:val="af1"/>
    <w:uiPriority w:val="5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Heading">
    <w:name w:val="Box Heading"/>
    <w:basedOn w:val="a2"/>
    <w:pPr>
      <w:keepNext/>
      <w:spacing w:before="80" w:after="140" w:line="220" w:lineRule="atLeast"/>
      <w:ind w:right="85"/>
    </w:pPr>
    <w:rPr>
      <w:rFonts w:ascii="Century Gothic" w:hAnsi="Century Gothic" w:cs="Times New Roman"/>
      <w:b/>
      <w:bCs/>
      <w:color w:val="333399"/>
      <w:sz w:val="16"/>
      <w:szCs w:val="16"/>
    </w:rPr>
  </w:style>
  <w:style w:type="paragraph" w:customStyle="1" w:styleId="Declassification">
    <w:name w:val="Declassification"/>
    <w:basedOn w:val="a2"/>
    <w:next w:val="a2"/>
    <w:pPr>
      <w:spacing w:after="0"/>
    </w:pPr>
    <w:rPr>
      <w:rFonts w:ascii="Times New Roman" w:hAnsi="Times New Roman" w:cs="Times New Roman"/>
      <w:sz w:val="24"/>
    </w:rPr>
  </w:style>
  <w:style w:type="paragraph" w:customStyle="1" w:styleId="HeaderLandscape">
    <w:name w:val="HeaderLandscape"/>
    <w:basedOn w:val="a2"/>
    <w:pPr>
      <w:tabs>
        <w:tab w:val="center" w:pos="7285"/>
        <w:tab w:val="right" w:pos="14003"/>
      </w:tabs>
    </w:pPr>
    <w:rPr>
      <w:rFonts w:ascii="Times New Roman" w:hAnsi="Times New Roman" w:cs="Times New Roman"/>
      <w:sz w:val="24"/>
    </w:rPr>
  </w:style>
  <w:style w:type="paragraph" w:customStyle="1" w:styleId="HeaderSensitivity">
    <w:name w:val="Header Sensitivity"/>
    <w:basedOn w:val="a2"/>
    <w:pPr>
      <w:pBdr>
        <w:top w:val="single" w:sz="4" w:space="1" w:color="auto"/>
        <w:left w:val="single" w:sz="4" w:space="4" w:color="auto"/>
        <w:bottom w:val="single" w:sz="4" w:space="1" w:color="auto"/>
        <w:right w:val="single" w:sz="4" w:space="4" w:color="auto"/>
      </w:pBdr>
      <w:ind w:left="113" w:right="113"/>
      <w:jc w:val="center"/>
    </w:pPr>
    <w:rPr>
      <w:rFonts w:ascii="Times New Roman" w:hAnsi="Times New Roman" w:cs="Times New Roman"/>
      <w:b/>
      <w:sz w:val="32"/>
    </w:rPr>
  </w:style>
  <w:style w:type="paragraph" w:customStyle="1" w:styleId="FooterLandscape">
    <w:name w:val="FooterLandscape"/>
    <w:basedOn w:val="a2"/>
    <w:pPr>
      <w:tabs>
        <w:tab w:val="center" w:pos="7285"/>
        <w:tab w:val="center" w:pos="10913"/>
        <w:tab w:val="right" w:pos="15137"/>
      </w:tabs>
      <w:spacing w:before="360" w:after="0"/>
      <w:ind w:left="-567" w:right="-567"/>
    </w:pPr>
    <w:rPr>
      <w:rFonts w:ascii="Times New Roman" w:hAnsi="Times New Roman" w:cs="Times New Roman"/>
      <w:sz w:val="24"/>
    </w:rPr>
  </w:style>
  <w:style w:type="paragraph" w:customStyle="1" w:styleId="FooterSensitivity">
    <w:name w:val="Footer Sensitivity"/>
    <w:basedOn w:val="a2"/>
    <w:pPr>
      <w:pBdr>
        <w:top w:val="single" w:sz="4" w:space="1" w:color="auto"/>
        <w:left w:val="single" w:sz="4" w:space="4" w:color="auto"/>
        <w:bottom w:val="single" w:sz="4" w:space="1" w:color="auto"/>
        <w:right w:val="single" w:sz="4" w:space="4" w:color="auto"/>
      </w:pBdr>
      <w:spacing w:before="360" w:after="0"/>
      <w:ind w:left="113" w:right="113"/>
      <w:jc w:val="center"/>
    </w:pPr>
    <w:rPr>
      <w:rFonts w:ascii="Times New Roman" w:hAnsi="Times New Roman" w:cs="Times New Roman"/>
      <w:b/>
      <w:sz w:val="32"/>
    </w:rPr>
  </w:style>
  <w:style w:type="table" w:customStyle="1" w:styleId="TableGrid3">
    <w:name w:val="Table Grid3"/>
    <w:basedOn w:val="a4"/>
    <w:next w:val="af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4"/>
    <w:next w:val="af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a4"/>
    <w:uiPriority w:val="4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aragraph">
    <w:name w:val="paragraph"/>
    <w:basedOn w:val="a2"/>
    <w:pPr>
      <w:spacing w:after="0"/>
    </w:pPr>
    <w:rPr>
      <w:rFonts w:ascii="Times New Roman" w:eastAsia="Times New Roman" w:hAnsi="Times New Roman" w:cs="Times New Roman"/>
      <w:sz w:val="24"/>
      <w:szCs w:val="24"/>
    </w:rPr>
  </w:style>
  <w:style w:type="character" w:customStyle="1" w:styleId="normaltextrun">
    <w:name w:val="normaltextrun"/>
    <w:basedOn w:val="a3"/>
  </w:style>
  <w:style w:type="character" w:customStyle="1" w:styleId="eop">
    <w:name w:val="eop"/>
    <w:basedOn w:val="a3"/>
  </w:style>
  <w:style w:type="paragraph" w:customStyle="1" w:styleId="wordsection1">
    <w:name w:val="wordsection1"/>
    <w:basedOn w:val="a2"/>
    <w:uiPriority w:val="99"/>
    <w:pPr>
      <w:spacing w:before="100" w:beforeAutospacing="1" w:after="100" w:afterAutospacing="1"/>
    </w:pPr>
    <w:rPr>
      <w:rFonts w:ascii="Times New Roman" w:hAnsi="Times New Roman" w:cs="Times New Roman"/>
      <w:sz w:val="24"/>
      <w:szCs w:val="24"/>
    </w:rPr>
  </w:style>
  <w:style w:type="table" w:customStyle="1" w:styleId="TableGrid22">
    <w:name w:val="Table Grid22"/>
    <w:basedOn w:val="a4"/>
    <w:next w:val="af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4"/>
    <w:next w:val="af1"/>
    <w:uiPriority w:val="5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Χαρακτήρες υποσημείωσης"/>
    <w:rPr>
      <w:rFonts w:cs="Times New Roman"/>
      <w:vertAlign w:val="superscript"/>
    </w:rPr>
  </w:style>
  <w:style w:type="paragraph" w:styleId="af7">
    <w:name w:val="endnote text"/>
    <w:basedOn w:val="a2"/>
    <w:link w:val="Char7"/>
    <w:uiPriority w:val="99"/>
    <w:semiHidden/>
    <w:unhideWhenUsed/>
    <w:pPr>
      <w:spacing w:after="0"/>
    </w:pPr>
    <w:rPr>
      <w:szCs w:val="20"/>
    </w:rPr>
  </w:style>
  <w:style w:type="character" w:customStyle="1" w:styleId="Char7">
    <w:name w:val="Κείμενο σημείωσης τέλους Char"/>
    <w:basedOn w:val="a3"/>
    <w:link w:val="af7"/>
    <w:uiPriority w:val="99"/>
    <w:semiHidden/>
    <w:rPr>
      <w:sz w:val="20"/>
      <w:szCs w:val="20"/>
    </w:rPr>
  </w:style>
  <w:style w:type="character" w:styleId="af8">
    <w:name w:val="endnote reference"/>
    <w:basedOn w:val="a3"/>
    <w:uiPriority w:val="99"/>
    <w:semiHidden/>
    <w:unhideWhenUsed/>
    <w:rPr>
      <w:vertAlign w:val="superscript"/>
    </w:rPr>
  </w:style>
  <w:style w:type="paragraph" w:customStyle="1" w:styleId="SuggActions">
    <w:name w:val="SuggActions"/>
    <w:basedOn w:val="a9"/>
    <w:link w:val="SuggActionsChar"/>
    <w:autoRedefine/>
    <w:qFormat/>
    <w:pPr>
      <w:widowControl w:val="0"/>
      <w:numPr>
        <w:numId w:val="37"/>
      </w:numPr>
      <w:spacing w:after="0"/>
      <w:ind w:left="357" w:hanging="357"/>
      <w:contextualSpacing w:val="0"/>
    </w:pPr>
    <w:rPr>
      <w:rFonts w:asciiTheme="minorHAnsi" w:hAnsiTheme="minorHAnsi" w:cstheme="minorBidi"/>
      <w:noProof/>
      <w:szCs w:val="20"/>
    </w:rPr>
  </w:style>
  <w:style w:type="character" w:customStyle="1" w:styleId="SuggActionsChar">
    <w:name w:val="SuggActions Char"/>
    <w:basedOn w:val="a3"/>
    <w:link w:val="SuggActions"/>
    <w:rPr>
      <w:rFonts w:eastAsia="Calibri"/>
      <w:noProof/>
      <w:sz w:val="20"/>
      <w:szCs w:val="20"/>
      <w:lang w:eastAsia="el-GR"/>
    </w:rPr>
  </w:style>
  <w:style w:type="character" w:customStyle="1" w:styleId="Char5">
    <w:name w:val="Κείμενο υποσημείωσης Char"/>
    <w:aliases w:val="Footnote Text Char Char Char2,Footnote Text Char Char Char Char Char1,Footnote Text1 Char Char1,Footnote Text1 Char2,Footnote Text Char Char Char Char2,Footnote Text1 Char Char Char Char1,Char Char Char Char1"/>
    <w:basedOn w:val="a3"/>
    <w:link w:val="ad"/>
    <w:uiPriority w:val="99"/>
    <w:locked/>
    <w:rPr>
      <w:rFonts w:ascii="Calibri" w:eastAsia="Calibri" w:hAnsi="Calibri" w:cs="Times New Roman"/>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922697">
      <w:bodyDiv w:val="1"/>
      <w:marLeft w:val="0"/>
      <w:marRight w:val="0"/>
      <w:marTop w:val="0"/>
      <w:marBottom w:val="0"/>
      <w:divBdr>
        <w:top w:val="none" w:sz="0" w:space="0" w:color="auto"/>
        <w:left w:val="none" w:sz="0" w:space="0" w:color="auto"/>
        <w:bottom w:val="none" w:sz="0" w:space="0" w:color="auto"/>
        <w:right w:val="none" w:sz="0" w:space="0" w:color="auto"/>
      </w:divBdr>
    </w:div>
    <w:div w:id="196434034">
      <w:bodyDiv w:val="1"/>
      <w:marLeft w:val="0"/>
      <w:marRight w:val="0"/>
      <w:marTop w:val="0"/>
      <w:marBottom w:val="0"/>
      <w:divBdr>
        <w:top w:val="none" w:sz="0" w:space="0" w:color="auto"/>
        <w:left w:val="none" w:sz="0" w:space="0" w:color="auto"/>
        <w:bottom w:val="none" w:sz="0" w:space="0" w:color="auto"/>
        <w:right w:val="none" w:sz="0" w:space="0" w:color="auto"/>
      </w:divBdr>
    </w:div>
    <w:div w:id="226764582">
      <w:bodyDiv w:val="1"/>
      <w:marLeft w:val="0"/>
      <w:marRight w:val="0"/>
      <w:marTop w:val="0"/>
      <w:marBottom w:val="0"/>
      <w:divBdr>
        <w:top w:val="none" w:sz="0" w:space="0" w:color="auto"/>
        <w:left w:val="none" w:sz="0" w:space="0" w:color="auto"/>
        <w:bottom w:val="none" w:sz="0" w:space="0" w:color="auto"/>
        <w:right w:val="none" w:sz="0" w:space="0" w:color="auto"/>
      </w:divBdr>
    </w:div>
    <w:div w:id="245236209">
      <w:bodyDiv w:val="1"/>
      <w:marLeft w:val="0"/>
      <w:marRight w:val="0"/>
      <w:marTop w:val="0"/>
      <w:marBottom w:val="0"/>
      <w:divBdr>
        <w:top w:val="none" w:sz="0" w:space="0" w:color="auto"/>
        <w:left w:val="none" w:sz="0" w:space="0" w:color="auto"/>
        <w:bottom w:val="none" w:sz="0" w:space="0" w:color="auto"/>
        <w:right w:val="none" w:sz="0" w:space="0" w:color="auto"/>
      </w:divBdr>
    </w:div>
    <w:div w:id="437797053">
      <w:bodyDiv w:val="1"/>
      <w:marLeft w:val="0"/>
      <w:marRight w:val="0"/>
      <w:marTop w:val="0"/>
      <w:marBottom w:val="0"/>
      <w:divBdr>
        <w:top w:val="none" w:sz="0" w:space="0" w:color="auto"/>
        <w:left w:val="none" w:sz="0" w:space="0" w:color="auto"/>
        <w:bottom w:val="none" w:sz="0" w:space="0" w:color="auto"/>
        <w:right w:val="none" w:sz="0" w:space="0" w:color="auto"/>
      </w:divBdr>
    </w:div>
    <w:div w:id="684670877">
      <w:bodyDiv w:val="1"/>
      <w:marLeft w:val="0"/>
      <w:marRight w:val="0"/>
      <w:marTop w:val="0"/>
      <w:marBottom w:val="0"/>
      <w:divBdr>
        <w:top w:val="none" w:sz="0" w:space="0" w:color="auto"/>
        <w:left w:val="none" w:sz="0" w:space="0" w:color="auto"/>
        <w:bottom w:val="none" w:sz="0" w:space="0" w:color="auto"/>
        <w:right w:val="none" w:sz="0" w:space="0" w:color="auto"/>
      </w:divBdr>
    </w:div>
    <w:div w:id="731079913">
      <w:bodyDiv w:val="1"/>
      <w:marLeft w:val="0"/>
      <w:marRight w:val="0"/>
      <w:marTop w:val="0"/>
      <w:marBottom w:val="0"/>
      <w:divBdr>
        <w:top w:val="none" w:sz="0" w:space="0" w:color="auto"/>
        <w:left w:val="none" w:sz="0" w:space="0" w:color="auto"/>
        <w:bottom w:val="none" w:sz="0" w:space="0" w:color="auto"/>
        <w:right w:val="none" w:sz="0" w:space="0" w:color="auto"/>
      </w:divBdr>
    </w:div>
    <w:div w:id="755369577">
      <w:bodyDiv w:val="1"/>
      <w:marLeft w:val="0"/>
      <w:marRight w:val="0"/>
      <w:marTop w:val="0"/>
      <w:marBottom w:val="0"/>
      <w:divBdr>
        <w:top w:val="none" w:sz="0" w:space="0" w:color="auto"/>
        <w:left w:val="none" w:sz="0" w:space="0" w:color="auto"/>
        <w:bottom w:val="none" w:sz="0" w:space="0" w:color="auto"/>
        <w:right w:val="none" w:sz="0" w:space="0" w:color="auto"/>
      </w:divBdr>
    </w:div>
    <w:div w:id="889919097">
      <w:bodyDiv w:val="1"/>
      <w:marLeft w:val="0"/>
      <w:marRight w:val="0"/>
      <w:marTop w:val="0"/>
      <w:marBottom w:val="0"/>
      <w:divBdr>
        <w:top w:val="none" w:sz="0" w:space="0" w:color="auto"/>
        <w:left w:val="none" w:sz="0" w:space="0" w:color="auto"/>
        <w:bottom w:val="none" w:sz="0" w:space="0" w:color="auto"/>
        <w:right w:val="none" w:sz="0" w:space="0" w:color="auto"/>
      </w:divBdr>
    </w:div>
    <w:div w:id="1356729721">
      <w:bodyDiv w:val="1"/>
      <w:marLeft w:val="0"/>
      <w:marRight w:val="0"/>
      <w:marTop w:val="0"/>
      <w:marBottom w:val="0"/>
      <w:divBdr>
        <w:top w:val="none" w:sz="0" w:space="0" w:color="auto"/>
        <w:left w:val="none" w:sz="0" w:space="0" w:color="auto"/>
        <w:bottom w:val="none" w:sz="0" w:space="0" w:color="auto"/>
        <w:right w:val="none" w:sz="0" w:space="0" w:color="auto"/>
      </w:divBdr>
    </w:div>
    <w:div w:id="1428380361">
      <w:bodyDiv w:val="1"/>
      <w:marLeft w:val="0"/>
      <w:marRight w:val="0"/>
      <w:marTop w:val="0"/>
      <w:marBottom w:val="0"/>
      <w:divBdr>
        <w:top w:val="none" w:sz="0" w:space="0" w:color="auto"/>
        <w:left w:val="none" w:sz="0" w:space="0" w:color="auto"/>
        <w:bottom w:val="none" w:sz="0" w:space="0" w:color="auto"/>
        <w:right w:val="none" w:sz="0" w:space="0" w:color="auto"/>
      </w:divBdr>
    </w:div>
    <w:div w:id="1983346997">
      <w:bodyDiv w:val="1"/>
      <w:marLeft w:val="0"/>
      <w:marRight w:val="0"/>
      <w:marTop w:val="0"/>
      <w:marBottom w:val="0"/>
      <w:divBdr>
        <w:top w:val="none" w:sz="0" w:space="0" w:color="auto"/>
        <w:left w:val="none" w:sz="0" w:space="0" w:color="auto"/>
        <w:bottom w:val="none" w:sz="0" w:space="0" w:color="auto"/>
        <w:right w:val="none" w:sz="0" w:space="0" w:color="auto"/>
      </w:divBdr>
    </w:div>
    <w:div w:id="2033603384">
      <w:bodyDiv w:val="1"/>
      <w:marLeft w:val="0"/>
      <w:marRight w:val="0"/>
      <w:marTop w:val="0"/>
      <w:marBottom w:val="0"/>
      <w:divBdr>
        <w:top w:val="none" w:sz="0" w:space="0" w:color="auto"/>
        <w:left w:val="none" w:sz="0" w:space="0" w:color="auto"/>
        <w:bottom w:val="none" w:sz="0" w:space="0" w:color="auto"/>
        <w:right w:val="none" w:sz="0" w:space="0" w:color="auto"/>
      </w:divBdr>
    </w:div>
    <w:div w:id="2073501022">
      <w:bodyDiv w:val="1"/>
      <w:marLeft w:val="0"/>
      <w:marRight w:val="0"/>
      <w:marTop w:val="0"/>
      <w:marBottom w:val="0"/>
      <w:divBdr>
        <w:top w:val="none" w:sz="0" w:space="0" w:color="auto"/>
        <w:left w:val="none" w:sz="0" w:space="0" w:color="auto"/>
        <w:bottom w:val="none" w:sz="0" w:space="0" w:color="auto"/>
        <w:right w:val="none" w:sz="0" w:space="0" w:color="auto"/>
      </w:divBdr>
    </w:div>
    <w:div w:id="214738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footer" Target="footer40.xml"/><Relationship Id="rId21" Type="http://schemas.openxmlformats.org/officeDocument/2006/relationships/header" Target="header5.xml"/><Relationship Id="rId42" Type="http://schemas.openxmlformats.org/officeDocument/2006/relationships/header" Target="header15.xml"/><Relationship Id="rId47" Type="http://schemas.openxmlformats.org/officeDocument/2006/relationships/footer" Target="footer17.xml"/><Relationship Id="rId63" Type="http://schemas.openxmlformats.org/officeDocument/2006/relationships/image" Target="media/image3.emf"/><Relationship Id="rId68" Type="http://schemas.openxmlformats.org/officeDocument/2006/relationships/image" Target="media/image8.emf"/><Relationship Id="rId84" Type="http://schemas.openxmlformats.org/officeDocument/2006/relationships/image" Target="media/image11.jpeg"/><Relationship Id="rId89" Type="http://schemas.openxmlformats.org/officeDocument/2006/relationships/header" Target="header31.xml"/><Relationship Id="rId112" Type="http://schemas.openxmlformats.org/officeDocument/2006/relationships/footer" Target="footer38.xml"/><Relationship Id="rId133" Type="http://schemas.openxmlformats.org/officeDocument/2006/relationships/footer" Target="footer47.xml"/><Relationship Id="rId138" Type="http://schemas.openxmlformats.org/officeDocument/2006/relationships/footer" Target="footer49.xml"/><Relationship Id="rId16" Type="http://schemas.openxmlformats.org/officeDocument/2006/relationships/header" Target="header3.xml"/><Relationship Id="rId107" Type="http://schemas.openxmlformats.org/officeDocument/2006/relationships/image" Target="media/image22.jpeg"/><Relationship Id="rId11" Type="http://schemas.openxmlformats.org/officeDocument/2006/relationships/image" Target="media/image1.emf"/><Relationship Id="rId32" Type="http://schemas.openxmlformats.org/officeDocument/2006/relationships/header" Target="header10.xml"/><Relationship Id="rId37" Type="http://schemas.openxmlformats.org/officeDocument/2006/relationships/footer" Target="footer12.xml"/><Relationship Id="rId53" Type="http://schemas.openxmlformats.org/officeDocument/2006/relationships/footer" Target="footer20.xml"/><Relationship Id="rId58" Type="http://schemas.openxmlformats.org/officeDocument/2006/relationships/footer" Target="footer22.xml"/><Relationship Id="rId74" Type="http://schemas.openxmlformats.org/officeDocument/2006/relationships/footer" Target="footer25.xml"/><Relationship Id="rId79" Type="http://schemas.openxmlformats.org/officeDocument/2006/relationships/header" Target="header29.xml"/><Relationship Id="rId102" Type="http://schemas.openxmlformats.org/officeDocument/2006/relationships/image" Target="media/image17.emf"/><Relationship Id="rId123" Type="http://schemas.openxmlformats.org/officeDocument/2006/relationships/footer" Target="footer43.xml"/><Relationship Id="rId128" Type="http://schemas.openxmlformats.org/officeDocument/2006/relationships/image" Target="media/image25.emf"/><Relationship Id="rId144" Type="http://schemas.openxmlformats.org/officeDocument/2006/relationships/hyperlink" Target="https://www.eu-twix.org/" TargetMode="External"/><Relationship Id="rId149" Type="http://schemas.openxmlformats.org/officeDocument/2006/relationships/header" Target="header54.xml"/><Relationship Id="rId5" Type="http://schemas.openxmlformats.org/officeDocument/2006/relationships/numbering" Target="numbering.xml"/><Relationship Id="rId90" Type="http://schemas.openxmlformats.org/officeDocument/2006/relationships/header" Target="header32.xml"/><Relationship Id="rId95" Type="http://schemas.openxmlformats.org/officeDocument/2006/relationships/header" Target="header34.xml"/><Relationship Id="rId22" Type="http://schemas.openxmlformats.org/officeDocument/2006/relationships/footer" Target="footer4.xml"/><Relationship Id="rId27" Type="http://schemas.openxmlformats.org/officeDocument/2006/relationships/header" Target="header8.xml"/><Relationship Id="rId43" Type="http://schemas.openxmlformats.org/officeDocument/2006/relationships/footer" Target="footer15.xml"/><Relationship Id="rId48" Type="http://schemas.openxmlformats.org/officeDocument/2006/relationships/header" Target="header18.xml"/><Relationship Id="rId64" Type="http://schemas.openxmlformats.org/officeDocument/2006/relationships/image" Target="media/image4.png"/><Relationship Id="rId69" Type="http://schemas.openxmlformats.org/officeDocument/2006/relationships/hyperlink" Target="http://www.ypeka.gr/LinkClick.aspx?fileticket=rTTnMWI1RCc=&amp;tabid=785&amp;language=el-GR" TargetMode="External"/><Relationship Id="rId113" Type="http://schemas.openxmlformats.org/officeDocument/2006/relationships/header" Target="header39.xml"/><Relationship Id="rId118" Type="http://schemas.openxmlformats.org/officeDocument/2006/relationships/footer" Target="footer41.xml"/><Relationship Id="rId134" Type="http://schemas.openxmlformats.org/officeDocument/2006/relationships/header" Target="header48.xml"/><Relationship Id="rId139" Type="http://schemas.openxmlformats.org/officeDocument/2006/relationships/footer" Target="footer50.xml"/><Relationship Id="rId80" Type="http://schemas.openxmlformats.org/officeDocument/2006/relationships/footer" Target="footer28.xml"/><Relationship Id="rId85" Type="http://schemas.openxmlformats.org/officeDocument/2006/relationships/image" Target="media/image12.emf"/><Relationship Id="rId150" Type="http://schemas.openxmlformats.org/officeDocument/2006/relationships/footer" Target="footer54.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eader" Target="header11.xml"/><Relationship Id="rId38" Type="http://schemas.openxmlformats.org/officeDocument/2006/relationships/header" Target="header13.xml"/><Relationship Id="rId46" Type="http://schemas.openxmlformats.org/officeDocument/2006/relationships/footer" Target="footer16.xml"/><Relationship Id="rId59" Type="http://schemas.openxmlformats.org/officeDocument/2006/relationships/footer" Target="footer23.xml"/><Relationship Id="rId67" Type="http://schemas.openxmlformats.org/officeDocument/2006/relationships/image" Target="media/image7.emf"/><Relationship Id="rId103" Type="http://schemas.openxmlformats.org/officeDocument/2006/relationships/image" Target="media/image18.png"/><Relationship Id="rId108" Type="http://schemas.openxmlformats.org/officeDocument/2006/relationships/image" Target="media/image23.emf"/><Relationship Id="rId116" Type="http://schemas.openxmlformats.org/officeDocument/2006/relationships/header" Target="header41.xml"/><Relationship Id="rId124" Type="http://schemas.openxmlformats.org/officeDocument/2006/relationships/footer" Target="footer44.xml"/><Relationship Id="rId129" Type="http://schemas.openxmlformats.org/officeDocument/2006/relationships/image" Target="media/image26.emf"/><Relationship Id="rId137" Type="http://schemas.openxmlformats.org/officeDocument/2006/relationships/header" Target="header50.xml"/><Relationship Id="rId20" Type="http://schemas.openxmlformats.org/officeDocument/2006/relationships/header" Target="header4.xml"/><Relationship Id="rId41" Type="http://schemas.openxmlformats.org/officeDocument/2006/relationships/footer" Target="footer14.xml"/><Relationship Id="rId54" Type="http://schemas.openxmlformats.org/officeDocument/2006/relationships/header" Target="header21.xml"/><Relationship Id="rId62" Type="http://schemas.openxmlformats.org/officeDocument/2006/relationships/image" Target="media/image2.emf"/><Relationship Id="rId70" Type="http://schemas.openxmlformats.org/officeDocument/2006/relationships/image" Target="media/image9.emf"/><Relationship Id="rId75" Type="http://schemas.openxmlformats.org/officeDocument/2006/relationships/footer" Target="footer26.xml"/><Relationship Id="rId83" Type="http://schemas.openxmlformats.org/officeDocument/2006/relationships/footer" Target="footer30.xml"/><Relationship Id="rId88" Type="http://schemas.openxmlformats.org/officeDocument/2006/relationships/image" Target="media/image15.jpeg"/><Relationship Id="rId91" Type="http://schemas.openxmlformats.org/officeDocument/2006/relationships/footer" Target="footer31.xml"/><Relationship Id="rId96" Type="http://schemas.openxmlformats.org/officeDocument/2006/relationships/header" Target="header35.xml"/><Relationship Id="rId111" Type="http://schemas.openxmlformats.org/officeDocument/2006/relationships/footer" Target="footer37.xml"/><Relationship Id="rId132" Type="http://schemas.openxmlformats.org/officeDocument/2006/relationships/footer" Target="footer46.xml"/><Relationship Id="rId140" Type="http://schemas.openxmlformats.org/officeDocument/2006/relationships/header" Target="header51.xml"/><Relationship Id="rId145" Type="http://schemas.openxmlformats.org/officeDocument/2006/relationships/header" Target="header5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eader" Target="header12.xml"/><Relationship Id="rId49" Type="http://schemas.openxmlformats.org/officeDocument/2006/relationships/footer" Target="footer18.xml"/><Relationship Id="rId57" Type="http://schemas.openxmlformats.org/officeDocument/2006/relationships/header" Target="header23.xml"/><Relationship Id="rId106" Type="http://schemas.openxmlformats.org/officeDocument/2006/relationships/image" Target="media/image21.emf"/><Relationship Id="rId114" Type="http://schemas.openxmlformats.org/officeDocument/2006/relationships/footer" Target="footer39.xml"/><Relationship Id="rId119" Type="http://schemas.openxmlformats.org/officeDocument/2006/relationships/header" Target="header42.xml"/><Relationship Id="rId127" Type="http://schemas.openxmlformats.org/officeDocument/2006/relationships/image" Target="media/image24.emf"/><Relationship Id="rId10" Type="http://schemas.openxmlformats.org/officeDocument/2006/relationships/endnotes" Target="endnotes.xml"/><Relationship Id="rId31" Type="http://schemas.openxmlformats.org/officeDocument/2006/relationships/footer" Target="footer9.xml"/><Relationship Id="rId44" Type="http://schemas.openxmlformats.org/officeDocument/2006/relationships/header" Target="header16.xml"/><Relationship Id="rId52" Type="http://schemas.openxmlformats.org/officeDocument/2006/relationships/footer" Target="footer19.xml"/><Relationship Id="rId60" Type="http://schemas.openxmlformats.org/officeDocument/2006/relationships/header" Target="header24.xml"/><Relationship Id="rId65" Type="http://schemas.openxmlformats.org/officeDocument/2006/relationships/image" Target="media/image5.emf"/><Relationship Id="rId73" Type="http://schemas.openxmlformats.org/officeDocument/2006/relationships/header" Target="header26.xml"/><Relationship Id="rId78" Type="http://schemas.openxmlformats.org/officeDocument/2006/relationships/header" Target="header28.xml"/><Relationship Id="rId81" Type="http://schemas.openxmlformats.org/officeDocument/2006/relationships/footer" Target="footer29.xml"/><Relationship Id="rId86" Type="http://schemas.openxmlformats.org/officeDocument/2006/relationships/image" Target="media/image13.jpeg"/><Relationship Id="rId94" Type="http://schemas.openxmlformats.org/officeDocument/2006/relationships/footer" Target="footer33.xml"/><Relationship Id="rId99" Type="http://schemas.openxmlformats.org/officeDocument/2006/relationships/header" Target="header36.xml"/><Relationship Id="rId101" Type="http://schemas.openxmlformats.org/officeDocument/2006/relationships/image" Target="media/image16.png"/><Relationship Id="rId122" Type="http://schemas.openxmlformats.org/officeDocument/2006/relationships/header" Target="header44.xml"/><Relationship Id="rId130" Type="http://schemas.openxmlformats.org/officeDocument/2006/relationships/header" Target="header46.xml"/><Relationship Id="rId135" Type="http://schemas.openxmlformats.org/officeDocument/2006/relationships/footer" Target="footer48.xml"/><Relationship Id="rId143" Type="http://schemas.openxmlformats.org/officeDocument/2006/relationships/image" Target="media/image28.jpeg"/><Relationship Id="rId148" Type="http://schemas.openxmlformats.org/officeDocument/2006/relationships/footer" Target="footer53.xml"/><Relationship Id="rId15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mailto:ENV-EIR@ec.europa.eu" TargetMode="External"/><Relationship Id="rId39" Type="http://schemas.openxmlformats.org/officeDocument/2006/relationships/header" Target="header14.xml"/><Relationship Id="rId109" Type="http://schemas.openxmlformats.org/officeDocument/2006/relationships/header" Target="header37.xml"/><Relationship Id="rId34" Type="http://schemas.openxmlformats.org/officeDocument/2006/relationships/footer" Target="footer10.xml"/><Relationship Id="rId50" Type="http://schemas.openxmlformats.org/officeDocument/2006/relationships/header" Target="header19.xml"/><Relationship Id="rId55" Type="http://schemas.openxmlformats.org/officeDocument/2006/relationships/footer" Target="footer21.xml"/><Relationship Id="rId76" Type="http://schemas.openxmlformats.org/officeDocument/2006/relationships/header" Target="header27.xml"/><Relationship Id="rId97" Type="http://schemas.openxmlformats.org/officeDocument/2006/relationships/footer" Target="footer34.xml"/><Relationship Id="rId104" Type="http://schemas.openxmlformats.org/officeDocument/2006/relationships/image" Target="media/image19.emf"/><Relationship Id="rId120" Type="http://schemas.openxmlformats.org/officeDocument/2006/relationships/footer" Target="footer42.xml"/><Relationship Id="rId125" Type="http://schemas.openxmlformats.org/officeDocument/2006/relationships/header" Target="header45.xml"/><Relationship Id="rId141" Type="http://schemas.openxmlformats.org/officeDocument/2006/relationships/footer" Target="footer51.xml"/><Relationship Id="rId146" Type="http://schemas.openxmlformats.org/officeDocument/2006/relationships/header" Target="header53.xml"/><Relationship Id="rId7" Type="http://schemas.openxmlformats.org/officeDocument/2006/relationships/settings" Target="settings.xml"/><Relationship Id="rId71" Type="http://schemas.openxmlformats.org/officeDocument/2006/relationships/image" Target="media/image10.emf"/><Relationship Id="rId92" Type="http://schemas.openxmlformats.org/officeDocument/2006/relationships/footer" Target="footer32.xml"/><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header" Target="header6.xml"/><Relationship Id="rId40" Type="http://schemas.openxmlformats.org/officeDocument/2006/relationships/footer" Target="footer13.xml"/><Relationship Id="rId45" Type="http://schemas.openxmlformats.org/officeDocument/2006/relationships/header" Target="header17.xml"/><Relationship Id="rId66" Type="http://schemas.openxmlformats.org/officeDocument/2006/relationships/image" Target="media/image6.emf"/><Relationship Id="rId87" Type="http://schemas.openxmlformats.org/officeDocument/2006/relationships/image" Target="media/image14.png"/><Relationship Id="rId110" Type="http://schemas.openxmlformats.org/officeDocument/2006/relationships/header" Target="header38.xml"/><Relationship Id="rId115" Type="http://schemas.openxmlformats.org/officeDocument/2006/relationships/header" Target="header40.xml"/><Relationship Id="rId131" Type="http://schemas.openxmlformats.org/officeDocument/2006/relationships/header" Target="header47.xml"/><Relationship Id="rId136" Type="http://schemas.openxmlformats.org/officeDocument/2006/relationships/header" Target="header49.xml"/><Relationship Id="rId61" Type="http://schemas.openxmlformats.org/officeDocument/2006/relationships/footer" Target="footer24.xml"/><Relationship Id="rId82" Type="http://schemas.openxmlformats.org/officeDocument/2006/relationships/header" Target="header30.xml"/><Relationship Id="rId152" Type="http://schemas.openxmlformats.org/officeDocument/2006/relationships/theme" Target="theme/theme1.xml"/><Relationship Id="rId19" Type="http://schemas.openxmlformats.org/officeDocument/2006/relationships/hyperlink" Target="http://europa.eu/" TargetMode="External"/><Relationship Id="rId14" Type="http://schemas.openxmlformats.org/officeDocument/2006/relationships/footer" Target="footer1.xml"/><Relationship Id="rId30" Type="http://schemas.openxmlformats.org/officeDocument/2006/relationships/header" Target="header9.xml"/><Relationship Id="rId35" Type="http://schemas.openxmlformats.org/officeDocument/2006/relationships/footer" Target="footer11.xml"/><Relationship Id="rId56" Type="http://schemas.openxmlformats.org/officeDocument/2006/relationships/header" Target="header22.xml"/><Relationship Id="rId77" Type="http://schemas.openxmlformats.org/officeDocument/2006/relationships/footer" Target="footer27.xml"/><Relationship Id="rId100" Type="http://schemas.openxmlformats.org/officeDocument/2006/relationships/footer" Target="footer36.xml"/><Relationship Id="rId105" Type="http://schemas.openxmlformats.org/officeDocument/2006/relationships/image" Target="media/image20.emf"/><Relationship Id="rId126" Type="http://schemas.openxmlformats.org/officeDocument/2006/relationships/footer" Target="footer45.xml"/><Relationship Id="rId147" Type="http://schemas.openxmlformats.org/officeDocument/2006/relationships/footer" Target="footer52.xml"/><Relationship Id="rId8" Type="http://schemas.openxmlformats.org/officeDocument/2006/relationships/webSettings" Target="webSettings.xml"/><Relationship Id="rId51" Type="http://schemas.openxmlformats.org/officeDocument/2006/relationships/header" Target="header20.xml"/><Relationship Id="rId72" Type="http://schemas.openxmlformats.org/officeDocument/2006/relationships/header" Target="header25.xml"/><Relationship Id="rId93" Type="http://schemas.openxmlformats.org/officeDocument/2006/relationships/header" Target="header33.xml"/><Relationship Id="rId98" Type="http://schemas.openxmlformats.org/officeDocument/2006/relationships/footer" Target="footer35.xml"/><Relationship Id="rId121" Type="http://schemas.openxmlformats.org/officeDocument/2006/relationships/header" Target="header43.xml"/><Relationship Id="rId142" Type="http://schemas.openxmlformats.org/officeDocument/2006/relationships/image" Target="media/image27.pn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6" Type="http://schemas.openxmlformats.org/officeDocument/2006/relationships/hyperlink" Target="https://biodiversity.europa.eu/maes/maes_countries/greece" TargetMode="External"/><Relationship Id="rId117" Type="http://schemas.openxmlformats.org/officeDocument/2006/relationships/hyperlink" Target="http://www.eib.org/en/projects/regions/european-union/greece/index.htm" TargetMode="External"/><Relationship Id="rId21" Type="http://schemas.openxmlformats.org/officeDocument/2006/relationships/hyperlink" Target="https://www.eea.europa.eu/data-and-maps/data/data-viewers/greenhouse-gases-viewer" TargetMode="External"/><Relationship Id="rId42" Type="http://schemas.openxmlformats.org/officeDocument/2006/relationships/hyperlink" Target="https://eur-lex.europa.eu/legal-content/EL/ALL/?uri=CELEX%3A32008L0050" TargetMode="External"/><Relationship Id="rId47" Type="http://schemas.openxmlformats.org/officeDocument/2006/relationships/hyperlink" Target="http://www.euro.who.int/en/media-centre/sections/press-releases/2011/03/new-evidence-from-who-on-health-effects-of-traffic-related-noise-in-europe" TargetMode="External"/><Relationship Id="rId63" Type="http://schemas.openxmlformats.org/officeDocument/2006/relationships/hyperlink" Target="https://eur-lex.europa.eu/legal-content/EL/ALL/?uri=COM:2018:0116:FIN" TargetMode="External"/><Relationship Id="rId68" Type="http://schemas.openxmlformats.org/officeDocument/2006/relationships/hyperlink" Target="https://webgate.ec.europa.eu/greencitytool/home/?lang=el" TargetMode="External"/><Relationship Id="rId84" Type="http://schemas.openxmlformats.org/officeDocument/2006/relationships/hyperlink" Target="https://www.google.com/url?sa=t&amp;rct=j&amp;q=&amp;esrc=s&amp;source=web&amp;cd=5&amp;cad=rja&amp;uact=8&amp;ved=2ahUKEwjpp7vQ3PvdAhWGJ1AKHZYADl8QFjAEegQIBRAB&amp;url=http://www.mobithess.gr/&amp;usg=AOvVaw1EH45QoEtHKLfx5BPE6A74" TargetMode="External"/><Relationship Id="rId89" Type="http://schemas.openxmlformats.org/officeDocument/2006/relationships/hyperlink" Target="http://ec.europa.eu/eurostat/en/web/products-datasets/-/T2020_RT320" TargetMode="External"/><Relationship Id="rId112" Type="http://schemas.openxmlformats.org/officeDocument/2006/relationships/hyperlink" Target="https://ec.europa.eu/inea/en/connecting-europe-facility/cef-transport/2017-el-tm-0048-w" TargetMode="External"/><Relationship Id="rId133" Type="http://schemas.openxmlformats.org/officeDocument/2006/relationships/hyperlink" Target="http://ec.europa.eu/transparency/regdoc/index.cfm?fuseaction=list&amp;n=10&amp;adv=0&amp;coteId=10102&amp;year=2018&amp;number=10&amp;dateFrom=&amp;dateTo=&amp;serviceId=&amp;documentType=&amp;title=&amp;titleLanguage=&amp;titleSearch=EXACT&amp;sortBy=NUMB" TargetMode="External"/><Relationship Id="rId138" Type="http://schemas.openxmlformats.org/officeDocument/2006/relationships/hyperlink" Target="http://www.un.org/en/ga/72/resolutions.shtml" TargetMode="External"/><Relationship Id="rId16" Type="http://schemas.openxmlformats.org/officeDocument/2006/relationships/hyperlink" Target="https://eur-lex.europa.eu/legal-content/EL/TXT/?qid=1529413058624&amp;uri=CELEX:32018L0850" TargetMode="External"/><Relationship Id="rId107" Type="http://schemas.openxmlformats.org/officeDocument/2006/relationships/hyperlink" Target="https://ec.europa.eu/info/publications/partnership-agreement-greece-2014-20_el" TargetMode="External"/><Relationship Id="rId11" Type="http://schemas.openxmlformats.org/officeDocument/2006/relationships/hyperlink" Target="http://ec.europa.eu/eurostat/tgm/refreshTableAction.do?tab=table&amp;plugin=1&amp;pcode=t2020_rt120&amp;language=en" TargetMode="External"/><Relationship Id="rId32" Type="http://schemas.openxmlformats.org/officeDocument/2006/relationships/hyperlink" Target="http://appsso.eurostat.ec.europa.eu/nui/show.do?dataset=lan_lcv_art&amp;lang=en" TargetMode="External"/><Relationship Id="rId37" Type="http://schemas.openxmlformats.org/officeDocument/2006/relationships/hyperlink" Target="https://www.eea.europa.eu/publications/air-quality-in-europe-2018" TargetMode="External"/><Relationship Id="rId53" Type="http://schemas.openxmlformats.org/officeDocument/2006/relationships/hyperlink" Target="http://eur-lex.europa.eu/legal-content/EL/TXT/?uri=CELEX:31991L0676" TargetMode="External"/><Relationship Id="rId58" Type="http://schemas.openxmlformats.org/officeDocument/2006/relationships/hyperlink" Target="https://www.eea.europa.eu/publications/european-bathing-water-quality-in-2017" TargetMode="External"/><Relationship Id="rId74" Type="http://schemas.openxmlformats.org/officeDocument/2006/relationships/hyperlink" Target="https://ec.europa.eu/eurostat/web/gisco/geodata/reference-data/administrative-units-statistical-units/urban-audit" TargetMode="External"/><Relationship Id="rId79" Type="http://schemas.openxmlformats.org/officeDocument/2006/relationships/hyperlink" Target="https://www.tomtom.com/en_gb/trafficindex/list?citySize=ALL&amp;continent=EU&amp;country=ALL" TargetMode="External"/><Relationship Id="rId102" Type="http://schemas.openxmlformats.org/officeDocument/2006/relationships/hyperlink" Target="http://ec.europa.eu/environment/life/" TargetMode="External"/><Relationship Id="rId123" Type="http://schemas.openxmlformats.org/officeDocument/2006/relationships/hyperlink" Target="http://ypeka.gr/" TargetMode="External"/><Relationship Id="rId128" Type="http://schemas.openxmlformats.org/officeDocument/2006/relationships/hyperlink" Target="http://www.opengov.gr/home/" TargetMode="External"/><Relationship Id="rId144" Type="http://schemas.openxmlformats.org/officeDocument/2006/relationships/hyperlink" Target="https://sustainabledevelopment.un.org/content/documents/19378Greece_VNR_Greece_2018_pdf_FINAL_140618.pdf" TargetMode="External"/><Relationship Id="rId5" Type="http://schemas.openxmlformats.org/officeDocument/2006/relationships/hyperlink" Target="http://ec.europa.eu/eurostat/web/environment/material-flows-and-resource-productivity/database" TargetMode="External"/><Relationship Id="rId90" Type="http://schemas.openxmlformats.org/officeDocument/2006/relationships/hyperlink" Target="http://www.eea.europa.eu/publications/environmental-taxation-and-eu-environmental-policies" TargetMode="External"/><Relationship Id="rId95" Type="http://schemas.openxmlformats.org/officeDocument/2006/relationships/hyperlink" Target="https://www.eea.europa.eu/themes/transport/vehicles-taxation" TargetMode="External"/><Relationship Id="rId22" Type="http://schemas.openxmlformats.org/officeDocument/2006/relationships/hyperlink" Target="http://ec.europa.eu/environment/nature/info/pubs/docs/nat2000newsl/nat37_en.pdf" TargetMode="External"/><Relationship Id="rId27" Type="http://schemas.openxmlformats.org/officeDocument/2006/relationships/hyperlink" Target="http://esmeralda-project.eu/" TargetMode="External"/><Relationship Id="rId43" Type="http://schemas.openxmlformats.org/officeDocument/2006/relationships/hyperlink" Target="https://eur-lex.europa.eu/legal-content/EL/TXT/?uri=celex:32010L0075" TargetMode="External"/><Relationship Id="rId48" Type="http://schemas.openxmlformats.org/officeDocument/2006/relationships/hyperlink" Target="https://www.eea.europa.eu/themes/human/noise/noise-fact-sheets" TargetMode="External"/><Relationship Id="rId64" Type="http://schemas.openxmlformats.org/officeDocument/2006/relationships/hyperlink" Target="https://echa.europa.eu/view-article/-/journal_content/2b4c2056-63b2-4d39-9f3b-27d5d5bd9fc7" TargetMode="External"/><Relationship Id="rId69" Type="http://schemas.openxmlformats.org/officeDocument/2006/relationships/hyperlink" Target="https://ec.europa.eu/regional_policy/en/policy/themes/urban-development/network/" TargetMode="External"/><Relationship Id="rId113" Type="http://schemas.openxmlformats.org/officeDocument/2006/relationships/hyperlink" Target="http://ec.europa.eu/environment/life/project/Projects/index.cfm?fuseaction=search.dspPage&amp;n_proj_id=5351" TargetMode="External"/><Relationship Id="rId118" Type="http://schemas.openxmlformats.org/officeDocument/2006/relationships/hyperlink" Target="http://www.eib.org/en/efsi/map/index.htm" TargetMode="External"/><Relationship Id="rId134" Type="http://schemas.openxmlformats.org/officeDocument/2006/relationships/hyperlink" Target="https://eur-lex.europa.eu/legal-content/EL/TXT/?uri=celex:32004L0035" TargetMode="External"/><Relationship Id="rId139" Type="http://schemas.openxmlformats.org/officeDocument/2006/relationships/hyperlink" Target="https://www.un.org/pga/72/2018/09/05/towards-a-global-pact-for-the-environment/" TargetMode="External"/><Relationship Id="rId8" Type="http://schemas.openxmlformats.org/officeDocument/2006/relationships/hyperlink" Target="https://ec.europa.eu/environment/ecoap/scoreboard_en" TargetMode="External"/><Relationship Id="rId51" Type="http://schemas.openxmlformats.org/officeDocument/2006/relationships/hyperlink" Target="http://eur-lex.europa.eu/legal-content/EL/TXT/?uri=CELEX:31998L0083" TargetMode="External"/><Relationship Id="rId72" Type="http://schemas.openxmlformats.org/officeDocument/2006/relationships/hyperlink" Target="https://www.simfonodimarxon.eu/%CF%80%CE%BB%CE%B7%CF%81%CE%BF%CF%86%CE%BF%CF%81%CE%AF%CE%B5%CF%82/%CE%BA%CE%BF%CE%B9%CE%BD%CF%8C%CF%84%CE%B7%CF%84%CE%B1-%CF%84%CE%BF%CF%85-%CF%83%CF%85%CE%BC%CF%86%CF%8E%CE%BD%CE%BF%CF%85/%CF%83%CF%85%CE%BD%CF%84%CE%BF%CE%25B" TargetMode="External"/><Relationship Id="rId80" Type="http://schemas.openxmlformats.org/officeDocument/2006/relationships/hyperlink" Target="https://ec.europa.eu/eurostat/statistics-explained/index.php?title=Passenger_transport_statistics/el" TargetMode="External"/><Relationship Id="rId85" Type="http://schemas.openxmlformats.org/officeDocument/2006/relationships/hyperlink" Target="http://ec.europa.eu/eurostat/en/web/products-datasets/-/T2020_RT320" TargetMode="External"/><Relationship Id="rId93" Type="http://schemas.openxmlformats.org/officeDocument/2006/relationships/hyperlink" Target="https://www.fleeteurope.com/en/taxation-and-legislation/europe/features/major-changes-company-car-taxation-europe" TargetMode="External"/><Relationship Id="rId98" Type="http://schemas.openxmlformats.org/officeDocument/2006/relationships/hyperlink" Target="https://eur-lex.europa.eu/legal-content/EL/TXT/HTML/?uri=CELEX:52008DC0400&amp;from=EN" TargetMode="External"/><Relationship Id="rId121" Type="http://schemas.openxmlformats.org/officeDocument/2006/relationships/hyperlink" Target="https://eur-lex.europa.eu/legal-content/EL/TXT/?uri=CELEX%3A32003L0004" TargetMode="External"/><Relationship Id="rId142" Type="http://schemas.openxmlformats.org/officeDocument/2006/relationships/hyperlink" Target="https://eur-lex.europa.eu/legal-content/EL/TXT/?uri=celex:32014R0511" TargetMode="External"/><Relationship Id="rId3" Type="http://schemas.openxmlformats.org/officeDocument/2006/relationships/hyperlink" Target="https://data.europa.eu/euodp/el/data/dataset/S2156_88_1_468_ENG" TargetMode="External"/><Relationship Id="rId12" Type="http://schemas.openxmlformats.org/officeDocument/2006/relationships/hyperlink" Target="http://ec.europa.eu/transparency/regdoc/index.cfm?fuseaction=list&amp;n=10&amp;adv=0&amp;coteId=10102&amp;year=2018&amp;number=418&amp;dateFrom=&amp;dateTo=&amp;serviceId=&amp;documentType=&amp;title=&amp;titleLanguage=&amp;titleSearch=EXACT&amp;sortBy=NUM" TargetMode="External"/><Relationship Id="rId17" Type="http://schemas.openxmlformats.org/officeDocument/2006/relationships/hyperlink" Target="https://eur-lex.europa.eu/legal-content/EL/TXT/?qid=1529413058624&amp;uri=CELEX:32018L0849" TargetMode="External"/><Relationship Id="rId25" Type="http://schemas.openxmlformats.org/officeDocument/2006/relationships/hyperlink" Target="https://oneecosystem.pensoft.net/article/13714/" TargetMode="External"/><Relationship Id="rId33" Type="http://schemas.openxmlformats.org/officeDocument/2006/relationships/hyperlink" Target="https://data.europa.eu/euodp/data/dataset/GnGfvPQmfu5n6aKVXQkPw" TargetMode="External"/><Relationship Id="rId38" Type="http://schemas.openxmlformats.org/officeDocument/2006/relationships/hyperlink" Target="https://cdr.eionet.europa.eu/gr/eu/aqd/e1a/" TargetMode="External"/><Relationship Id="rId46" Type="http://schemas.openxmlformats.org/officeDocument/2006/relationships/hyperlink" Target="https://eur-lex.europa.eu/legal-content/EL/ALL/?uri=celex:32002L0049" TargetMode="External"/><Relationship Id="rId59" Type="http://schemas.openxmlformats.org/officeDocument/2006/relationships/hyperlink" Target="http://ec.europa.eu/transparency/regdoc/index.cfm?fuseaction=list&amp;n=10&amp;adv=0&amp;coteId=1&amp;year=2017&amp;number=749&amp;dateFrom=&amp;dateTo=&amp;serviceId=&amp;documentType=&amp;title=&amp;titleLanguage=&amp;titleSearch=EXACT&amp;sortBy=NUMBER&amp;" TargetMode="External"/><Relationship Id="rId67" Type="http://schemas.openxmlformats.org/officeDocument/2006/relationships/hyperlink" Target="http://ec.europa.eu/environment/europeangreencapital/europeangreenleaf/" TargetMode="External"/><Relationship Id="rId103" Type="http://schemas.openxmlformats.org/officeDocument/2006/relationships/hyperlink" Target="http://www.eib.org/efsi/" TargetMode="External"/><Relationship Id="rId108" Type="http://schemas.openxmlformats.org/officeDocument/2006/relationships/hyperlink" Target="https://eur-lex.europa.eu/legal-content/EL/TXT/?qid=1506675074347&amp;uri=COM:2017:554:FIN" TargetMode="External"/><Relationship Id="rId116" Type="http://schemas.openxmlformats.org/officeDocument/2006/relationships/hyperlink" Target="http://www.eib.org/en/projects/regions/european-union/greece/index.htm" TargetMode="External"/><Relationship Id="rId124" Type="http://schemas.openxmlformats.org/officeDocument/2006/relationships/hyperlink" Target="https://inspire.ec.europa.eu/sites/default/files/inspirecountryfichegreece_2016.pdf" TargetMode="External"/><Relationship Id="rId129" Type="http://schemas.openxmlformats.org/officeDocument/2006/relationships/hyperlink" Target="https://eprm.ypen.gr/" TargetMode="External"/><Relationship Id="rId137" Type="http://schemas.openxmlformats.org/officeDocument/2006/relationships/hyperlink" Target="http://ec.europa.eu/newsroom/dae/document.cfm?doc_id=52244" TargetMode="External"/><Relationship Id="rId20" Type="http://schemas.openxmlformats.org/officeDocument/2006/relationships/hyperlink" Target="https://www.eea.europa.eu/data-and-maps/data/data-viewers/greenhouse-gases-viewer" TargetMode="External"/><Relationship Id="rId41" Type="http://schemas.openxmlformats.org/officeDocument/2006/relationships/hyperlink" Target="https://eur-lex.europa.eu/legal-content/EL/TXT/?uri=celex:32004L0107" TargetMode="External"/><Relationship Id="rId54" Type="http://schemas.openxmlformats.org/officeDocument/2006/relationships/hyperlink" Target="http://eur-lex.europa.eu/legal-content/EL/TXT/?uri=CELEX:32007L0060" TargetMode="External"/><Relationship Id="rId62" Type="http://schemas.openxmlformats.org/officeDocument/2006/relationships/hyperlink" Target="https://echa.europa.eu/el/about-us/who-we-are/enforcement-forum/forum-enforcement-projects" TargetMode="External"/><Relationship Id="rId70" Type="http://schemas.openxmlformats.org/officeDocument/2006/relationships/hyperlink" Target="https://www.uia-initiative.eu/en" TargetMode="External"/><Relationship Id="rId75" Type="http://schemas.openxmlformats.org/officeDocument/2006/relationships/hyperlink" Target="https://biodiversity.europa.eu/countries/gi/greece" TargetMode="External"/><Relationship Id="rId83" Type="http://schemas.openxmlformats.org/officeDocument/2006/relationships/hyperlink" Target="https://ec.europa.eu/transport/sites/transport/files/2018_el_its_progress_report_2017.pdf" TargetMode="External"/><Relationship Id="rId88" Type="http://schemas.openxmlformats.org/officeDocument/2006/relationships/hyperlink" Target="http://stats.oecd.org/Index.aspx?DataSetCode=FFS_BEL" TargetMode="External"/><Relationship Id="rId91" Type="http://schemas.openxmlformats.org/officeDocument/2006/relationships/hyperlink" Target="http://ec.europa.eu/taxation_customs/tedb/taxSearch.html" TargetMode="External"/><Relationship Id="rId96" Type="http://schemas.openxmlformats.org/officeDocument/2006/relationships/hyperlink" Target="https://www.eea.europa.eu/data-and-maps/figures/average-co2-emissions-from-new" TargetMode="External"/><Relationship Id="rId111" Type="http://schemas.openxmlformats.org/officeDocument/2006/relationships/hyperlink" Target="https://ec.europa.eu/fisheries/cfp/emff/country-files_el" TargetMode="External"/><Relationship Id="rId132" Type="http://schemas.openxmlformats.org/officeDocument/2006/relationships/hyperlink" Target="http://ec.europa.eu/transparency/regdoc/index.cfm?fuseaction=list&amp;n=10&amp;adv=0&amp;coteId=1&amp;year=2018&amp;number=10&amp;dateFrom=&amp;dateTo=&amp;serviceId=&amp;documentType=&amp;title=&amp;titleLanguage=&amp;titleSearch=EXACT&amp;sortBy=NUMBER&amp;a" TargetMode="External"/><Relationship Id="rId140" Type="http://schemas.openxmlformats.org/officeDocument/2006/relationships/hyperlink" Target="http://eur-lex.europa.eu/legal-content/EL/TXT/?uri=CELEX:32010R0995" TargetMode="External"/><Relationship Id="rId1" Type="http://schemas.openxmlformats.org/officeDocument/2006/relationships/hyperlink" Target="http://ec.europa.eu/environment/circular-economy/index_en.htm" TargetMode="External"/><Relationship Id="rId6" Type="http://schemas.openxmlformats.org/officeDocument/2006/relationships/hyperlink" Target="https://ec.europa.eu/growth/smes/business-friendly-environment/performance-review_en" TargetMode="External"/><Relationship Id="rId15" Type="http://schemas.openxmlformats.org/officeDocument/2006/relationships/hyperlink" Target="https://eur-lex.europa.eu/legal-content/EL/TXT/?qid=1529413058624&amp;uri=CELEX:32018L0852" TargetMode="External"/><Relationship Id="rId23" Type="http://schemas.openxmlformats.org/officeDocument/2006/relationships/hyperlink" Target="http://ec.europa.eu/environment/nature/ecosystems/docs/green_infrastructures/GI%20Final%20Report.pdf" TargetMode="External"/><Relationship Id="rId28" Type="http://schemas.openxmlformats.org/officeDocument/2006/relationships/hyperlink" Target="https://naturalcapitalcoalition.org/protocol/" TargetMode="External"/><Relationship Id="rId36" Type="http://schemas.openxmlformats.org/officeDocument/2006/relationships/hyperlink" Target="http://eur-lex.europa.eu/legal-content/EL/TXT/?uri=uriserv:OJ.L_.2016.344.01.0001.01.ELL&amp;toc=OJ:L:2016:344:TOC" TargetMode="External"/><Relationship Id="rId49" Type="http://schemas.openxmlformats.org/officeDocument/2006/relationships/hyperlink" Target="http://eur-lex.europa.eu/legal-content/EL/TXT/?qid=1481623908600&amp;uri=CELEX:32006L0007" TargetMode="External"/><Relationship Id="rId57" Type="http://schemas.openxmlformats.org/officeDocument/2006/relationships/hyperlink" Target="http://www.eea.europa.eu/themes/water/interactive/bathing/state-of-bathing-waters" TargetMode="External"/><Relationship Id="rId106" Type="http://schemas.openxmlformats.org/officeDocument/2006/relationships/hyperlink" Target="https://ec.europa.eu/info/publications/partnership-agreement-greece-2014-20_el" TargetMode="External"/><Relationship Id="rId114" Type="http://schemas.openxmlformats.org/officeDocument/2006/relationships/hyperlink" Target="http://ec.europa.eu/environment/life/countries/greece.html" TargetMode="External"/><Relationship Id="rId119" Type="http://schemas.openxmlformats.org/officeDocument/2006/relationships/hyperlink" Target="http://ec.europa.eu/eurostat/statistics-explained/index.php/Government_expenditure_by_function_%E2%80%93_COFOG" TargetMode="External"/><Relationship Id="rId127" Type="http://schemas.openxmlformats.org/officeDocument/2006/relationships/hyperlink" Target="http://www.elinyae.gr/el/lib_file_upload/303a_05.1172580651403.pdf" TargetMode="External"/><Relationship Id="rId10" Type="http://schemas.openxmlformats.org/officeDocument/2006/relationships/hyperlink" Target="http://appsso.eurostat.ec.europa.eu/nui/show.do?dataset=env_wasmun&amp;lang=en" TargetMode="External"/><Relationship Id="rId31" Type="http://schemas.openxmlformats.org/officeDocument/2006/relationships/hyperlink" Target="http://publications.jrc.ec.europa.eu/repository/bitstream/JRC104969/kj-na-28596-en-n.pdf" TargetMode="External"/><Relationship Id="rId44" Type="http://schemas.openxmlformats.org/officeDocument/2006/relationships/hyperlink" Target="https://circabc.europa.eu/ui/group/06f33a94-9829-4eee-b187-21bb783a0fbf/library/319ed7a9-5dca-4859-923c-4be001430904/details" TargetMode="External"/><Relationship Id="rId52" Type="http://schemas.openxmlformats.org/officeDocument/2006/relationships/hyperlink" Target="http://eur-lex.europa.eu/legal-content/EL/TXT/?qid=1481624135097&amp;uri=CELEX:32000L0060" TargetMode="External"/><Relationship Id="rId60" Type="http://schemas.openxmlformats.org/officeDocument/2006/relationships/hyperlink" Target="http://ec.europa.eu/transparency/regdoc/index.cfm?fuseaction=list&amp;n=10&amp;adv=0&amp;coteId=10102&amp;year=2017&amp;number=445&amp;dateFrom=&amp;dateTo=&amp;serviceId=&amp;documentType=&amp;title=&amp;titleLanguage=&amp;titleSearch=EXACT&amp;sortBy=NUM" TargetMode="External"/><Relationship Id="rId65" Type="http://schemas.openxmlformats.org/officeDocument/2006/relationships/hyperlink" Target="https://ec.europa.eu/eurostat/documents/3217494/7596823/KS-01-16-691-EN-N.pdf" TargetMode="External"/><Relationship Id="rId73" Type="http://schemas.openxmlformats.org/officeDocument/2006/relationships/hyperlink" Target="http://data.europa.eu/euodp/el/data/dataset/VrbbG2kP6U8YElh5oRUw" TargetMode="External"/><Relationship Id="rId78" Type="http://schemas.openxmlformats.org/officeDocument/2006/relationships/hyperlink" Target="https://ec.europa.eu/transport/facts-fundings/scoreboard/compare/energy-union-innovation/road-congestion_en" TargetMode="External"/><Relationship Id="rId81" Type="http://schemas.openxmlformats.org/officeDocument/2006/relationships/hyperlink" Target="http://www.europarl.europa.eu/RegData/etudes/BRIE/2018/617469/IPOL_BRI(2018)617469_EN.pdf" TargetMode="External"/><Relationship Id="rId86" Type="http://schemas.openxmlformats.org/officeDocument/2006/relationships/hyperlink" Target="https://ec.europa.eu/taxation_customs/sites/taxation/files/taxation_trends_report_2017.pdf" TargetMode="External"/><Relationship Id="rId94" Type="http://schemas.openxmlformats.org/officeDocument/2006/relationships/hyperlink" Target="https://www.acea.be/uploads/publications/CO2_tax_overview_2018.pdf" TargetMode="External"/><Relationship Id="rId99" Type="http://schemas.openxmlformats.org/officeDocument/2006/relationships/hyperlink" Target="http://www.europarl.europa.eu/RegData/etudes/STUD/2017/602065/IPOL_STU(2017)602065_EN.pdf" TargetMode="External"/><Relationship Id="rId101" Type="http://schemas.openxmlformats.org/officeDocument/2006/relationships/hyperlink" Target="https://ec.europa.eu/info/publications/180308-action-plan-sustainable-growth_en" TargetMode="External"/><Relationship Id="rId122" Type="http://schemas.openxmlformats.org/officeDocument/2006/relationships/hyperlink" Target="https://eur-lex.europa.eu/legal-content/EL/ALL/?uri=CELEX:32007L0002" TargetMode="External"/><Relationship Id="rId130" Type="http://schemas.openxmlformats.org/officeDocument/2006/relationships/hyperlink" Target="http://www.wwf.gr/images/pdfs/genikes-paratiriseis-aarhous%2015.11.2016.pdf" TargetMode="External"/><Relationship Id="rId135" Type="http://schemas.openxmlformats.org/officeDocument/2006/relationships/hyperlink" Target="https://eur-lex.europa.eu/legal-content/EL/TXT/?uri=celex:32010L0075" TargetMode="External"/><Relationship Id="rId143" Type="http://schemas.openxmlformats.org/officeDocument/2006/relationships/hyperlink" Target="http://ec.europa.eu/environment/cites/index_en.htm" TargetMode="External"/><Relationship Id="rId4" Type="http://schemas.openxmlformats.org/officeDocument/2006/relationships/hyperlink" Target="http://ec.europa.eu/eurostat/web/products-datasets/-/tsdpc100" TargetMode="External"/><Relationship Id="rId9" Type="http://schemas.openxmlformats.org/officeDocument/2006/relationships/hyperlink" Target="https://eur-lex.europa.eu/legal-content/EL/TXT/?uri=celex%3A32008L0098" TargetMode="External"/><Relationship Id="rId13" Type="http://schemas.openxmlformats.org/officeDocument/2006/relationships/hyperlink" Target="http://ec.europa.eu/transparency/regdoc/index.cfm?fuseaction=list&amp;n=10&amp;adv=0&amp;coteId=1&amp;year=2018&amp;number=656&amp;dateFrom=&amp;dateTo=&amp;serviceId=&amp;documentType=&amp;title=&amp;titleLanguage=&amp;titleSearch=EXACT&amp;sortBy=NUMBER&amp;" TargetMode="External"/><Relationship Id="rId18" Type="http://schemas.openxmlformats.org/officeDocument/2006/relationships/hyperlink" Target="https://eur-lex.europa.eu/legal-content/EL/TXT/?uri=uriserv%3AOJ.L_.2018.150.01.0109.01.ELL" TargetMode="External"/><Relationship Id="rId39" Type="http://schemas.openxmlformats.org/officeDocument/2006/relationships/hyperlink" Target="https://www.eca.europa.eu/en/Pages/DocItem.aspx?did=46723" TargetMode="External"/><Relationship Id="rId109" Type="http://schemas.openxmlformats.org/officeDocument/2006/relationships/hyperlink" Target="https://ec.europa.eu/agriculture/rural-development-2014-2020/country-files/el_el" TargetMode="External"/><Relationship Id="rId34" Type="http://schemas.openxmlformats.org/officeDocument/2006/relationships/hyperlink" Target="http://eur-lex.europa.eu/legal-content/EL/TXT/?uri=CELEX:32008L0056" TargetMode="External"/><Relationship Id="rId50" Type="http://schemas.openxmlformats.org/officeDocument/2006/relationships/hyperlink" Target="http://eur-lex.europa.eu/legal-content/EL/ALL/?uri=CELEX:31991L0271" TargetMode="External"/><Relationship Id="rId55" Type="http://schemas.openxmlformats.org/officeDocument/2006/relationships/hyperlink" Target="https://www.eea.europa.eu/publications/european-bathing-water-quality-in-2016" TargetMode="External"/><Relationship Id="rId76" Type="http://schemas.openxmlformats.org/officeDocument/2006/relationships/hyperlink" Target="https://www.eea.europa.eu/publications/urban-sprawl-in-europe/annexes-120135-urban-sprawl-in-europe/view" TargetMode="External"/><Relationship Id="rId97" Type="http://schemas.openxmlformats.org/officeDocument/2006/relationships/hyperlink" Target="https://ec.europa.eu/transport/sites/transport/files/2018-transport-in-the-eu-current-trends-and-issues.pdf" TargetMode="External"/><Relationship Id="rId104" Type="http://schemas.openxmlformats.org/officeDocument/2006/relationships/hyperlink" Target="https://cohesiondata.ec.europa.eu/countries" TargetMode="External"/><Relationship Id="rId120" Type="http://schemas.openxmlformats.org/officeDocument/2006/relationships/hyperlink" Target="http://ec.europa.eu/eurostat/statistics-explained/index.php/Government_expenditure_by_function_%E2%80%93_COFOG" TargetMode="External"/><Relationship Id="rId125" Type="http://schemas.openxmlformats.org/officeDocument/2006/relationships/hyperlink" Target="https://inspire-dashboard.eea.europa.eu/" TargetMode="External"/><Relationship Id="rId141" Type="http://schemas.openxmlformats.org/officeDocument/2006/relationships/hyperlink" Target="https://eur-lex.europa.eu/legal-content/EL/TXT/?uri=CELEX:32005R2173" TargetMode="External"/><Relationship Id="rId7" Type="http://schemas.openxmlformats.org/officeDocument/2006/relationships/hyperlink" Target="https://ec.europa.eu/growth/industry/innovation/facts-figures/scoreboards_en" TargetMode="External"/><Relationship Id="rId71" Type="http://schemas.openxmlformats.org/officeDocument/2006/relationships/hyperlink" Target="https://www.simfonodimarxon.eu/%CF%80%CE%BB%CE%B7%CF%81%CE%BF%CF%86%CE%BF%CF%81%CE%AF%CE%B5%CF%82/%CE%BA%CE%BF%CE%B9%CE%BD%CF%8C%CF%84%CE%B7%CF%84%CE%B1-%CF%84%CE%BF%CF%85-%CF%83%CF%85%CE%BC%CF%86%CF%8E%CE%BD%CE%BF%CF%85/%CF%85%CF%80%CE%BF%CE%B3%CF%81%CE%25A" TargetMode="External"/><Relationship Id="rId92" Type="http://schemas.openxmlformats.org/officeDocument/2006/relationships/hyperlink" Target="https://ec.europa.eu/info/sites/info/files/eb026_en_0.pdf" TargetMode="External"/><Relationship Id="rId2" Type="http://schemas.openxmlformats.org/officeDocument/2006/relationships/hyperlink" Target="https://eur-lex.europa.eu/legal-content/EL/TXT/?qid=1516265440535&amp;uri=COM%3A2018%3A29%3AFIN" TargetMode="External"/><Relationship Id="rId29" Type="http://schemas.openxmlformats.org/officeDocument/2006/relationships/hyperlink" Target="http://business-biodiversity.eu/default.asp" TargetMode="External"/><Relationship Id="rId24" Type="http://schemas.openxmlformats.org/officeDocument/2006/relationships/hyperlink" Target="https://biodiversity.europa.eu/" TargetMode="External"/><Relationship Id="rId40" Type="http://schemas.openxmlformats.org/officeDocument/2006/relationships/hyperlink" Target="https://eur-lex.europa.eu/legal-content/EL/TXT/?uri=CELEX:32011D0850" TargetMode="External"/><Relationship Id="rId45" Type="http://schemas.openxmlformats.org/officeDocument/2006/relationships/hyperlink" Target="https://circabc.europa.eu/ui/group/06f33a94-9829-4eee-b187-21bb783a0fbf/library/319ed7a9-5dca-4859-923c-4be001430904/details" TargetMode="External"/><Relationship Id="rId66" Type="http://schemas.openxmlformats.org/officeDocument/2006/relationships/hyperlink" Target="http://ec.europa.eu/environment/europeangreencapital/index_en.htm" TargetMode="External"/><Relationship Id="rId87" Type="http://schemas.openxmlformats.org/officeDocument/2006/relationships/hyperlink" Target="https://ieep.eu/uploads/articles/attachments/8192ea44-2204-4756-b71c-d70c8558730e/EL%20Landfill%20Tax%20final.pdf?v=63680923242" TargetMode="External"/><Relationship Id="rId110" Type="http://schemas.openxmlformats.org/officeDocument/2006/relationships/hyperlink" Target="https://ec.europa.eu/info/sites/info/files/food-farming-fisheries/by_country/documents/cap-in-your-country-el_el.pdf" TargetMode="External"/><Relationship Id="rId115" Type="http://schemas.openxmlformats.org/officeDocument/2006/relationships/hyperlink" Target="http://www.eib.org/en/projects/loan/list/index?from=2013&amp;region=1&amp;sector=&amp;to=2017&amp;country=GR" TargetMode="External"/><Relationship Id="rId131" Type="http://schemas.openxmlformats.org/officeDocument/2006/relationships/hyperlink" Target="https://ies-svn.jrc.ec.europa.eu/projects/2016-5/wiki" TargetMode="External"/><Relationship Id="rId136" Type="http://schemas.openxmlformats.org/officeDocument/2006/relationships/hyperlink" Target="https://eur-lex.europa.eu/legal-content/EL/TXT/?uri=celex:32014L0052" TargetMode="External"/><Relationship Id="rId61" Type="http://schemas.openxmlformats.org/officeDocument/2006/relationships/hyperlink" Target="https://echa.europa.eu/documents/10162/13634/operation_reach_clp_2016_en.pdf" TargetMode="External"/><Relationship Id="rId82" Type="http://schemas.openxmlformats.org/officeDocument/2006/relationships/hyperlink" Target="https://www.nbg.gr/greek/the-group/press-office/e-spot/reports/Documents/SMEs_logistics_el.pdf" TargetMode="External"/><Relationship Id="rId19" Type="http://schemas.openxmlformats.org/officeDocument/2006/relationships/hyperlink" Target="https://eur-lex.europa.eu/legal-content/EL/TXT/?uri=celex%3A32008L0098" TargetMode="External"/><Relationship Id="rId14" Type="http://schemas.openxmlformats.org/officeDocument/2006/relationships/hyperlink" Target="https://eur-lex.europa.eu/legal-content/EL/TXT/HTML/?uri=CELEX:32018L0851&amp;from=EL" TargetMode="External"/><Relationship Id="rId30" Type="http://schemas.openxmlformats.org/officeDocument/2006/relationships/hyperlink" Target="http://publications.jrc.ec.europa.eu/repository/bitstream/JRC104969/kj-na-28596-en-n.pdf" TargetMode="External"/><Relationship Id="rId35" Type="http://schemas.openxmlformats.org/officeDocument/2006/relationships/hyperlink" Target="http://ec.europa.eu/environment/air/quality/standards.htm" TargetMode="External"/><Relationship Id="rId56" Type="http://schemas.openxmlformats.org/officeDocument/2006/relationships/hyperlink" Target="http://www.bathingwaterprofiles.gr/" TargetMode="External"/><Relationship Id="rId77" Type="http://schemas.openxmlformats.org/officeDocument/2006/relationships/hyperlink" Target="https://ec.europa.eu/eurostat/statistics-explained/index.php/Passenger_cars_in_the_EU" TargetMode="External"/><Relationship Id="rId100" Type="http://schemas.openxmlformats.org/officeDocument/2006/relationships/hyperlink" Target="http://ec.europa.eu/environment/gpp/pubs_en.htm" TargetMode="External"/><Relationship Id="rId105" Type="http://schemas.openxmlformats.org/officeDocument/2006/relationships/hyperlink" Target="http://eur-lex.europa.eu/legal-content/EL/TXT/PDF/?uri=CELEX:32013R1303&amp;from=EL" TargetMode="External"/><Relationship Id="rId126" Type="http://schemas.openxmlformats.org/officeDocument/2006/relationships/hyperlink" Target="https://ies-svn.jrc.ec.europa.eu/projects/2016-5/wik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EF776D66E4BB94589DB256F7BA6CE4F" ma:contentTypeVersion="0" ma:contentTypeDescription="Create a new document." ma:contentTypeScope="" ma:versionID="795dc31ee8aad1c83e04358bf2438b0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E591C-B1FC-417B-A7A6-3B3BB5D20425}">
  <ds:schemaRefs>
    <ds:schemaRef ds:uri="http://schemas.microsoft.com/sharepoint/v3/contenttype/forms"/>
  </ds:schemaRefs>
</ds:datastoreItem>
</file>

<file path=customXml/itemProps2.xml><?xml version="1.0" encoding="utf-8"?>
<ds:datastoreItem xmlns:ds="http://schemas.openxmlformats.org/officeDocument/2006/customXml" ds:itemID="{248BEE20-517C-46A1-97A4-E6BD53AED7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ADCA8F0-8A31-4E9D-879E-F24F153E21A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F4C4A99-1FAC-425E-B790-F422DAE21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19993</Words>
  <Characters>107964</Characters>
  <Application>Microsoft Office Word</Application>
  <DocSecurity>0</DocSecurity>
  <Lines>899</Lines>
  <Paragraphs>255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127702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CARRETERO SANCHEZ Luis (ENV-EXT)</dc:creator>
  <cp:keywords/>
  <dc:description/>
  <cp:lastModifiedBy>Φώλα Δέσποινα</cp:lastModifiedBy>
  <cp:revision>2</cp:revision>
  <cp:lastPrinted>2016-12-14T13:07:00Z</cp:lastPrinted>
  <dcterms:created xsi:type="dcterms:W3CDTF">2019-08-29T12:04:00Z</dcterms:created>
  <dcterms:modified xsi:type="dcterms:W3CDTF">2019-08-29T12:04:00Z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Last edited using">
    <vt:lpwstr>LW 6.0.1, Build 20180503</vt:lpwstr>
  </property>
  <property fmtid="{D5CDD505-2E9C-101B-9397-08002B2CF9AE}" pid="6" name="ContentTypeId">
    <vt:lpwstr>0x0101001EF776D66E4BB94589DB256F7BA6CE4F</vt:lpwstr>
  </property>
  <property fmtid="{D5CDD505-2E9C-101B-9397-08002B2CF9AE}" pid="7" name="Total parts">
    <vt:lpwstr>1</vt:lpwstr>
  </property>
  <property fmtid="{D5CDD505-2E9C-101B-9397-08002B2CF9AE}" pid="8" name="Created using">
    <vt:lpwstr>LW 6.0.1, Build 20180503</vt:lpwstr>
  </property>
</Properties>
</file>